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hd w:val="clear" w:color="auto" w:fill="FFFFFF"/>
        <w:spacing w:beforeAutospacing="0" w:afterAutospacing="0" w:line="560" w:lineRule="exact"/>
        <w:jc w:val="both"/>
        <w:rPr>
          <w:rFonts w:eastAsia="黑体"/>
          <w:sz w:val="32"/>
          <w:szCs w:val="32"/>
          <w:shd w:val="clear" w:color="auto" w:fill="FFFFFF"/>
        </w:rPr>
      </w:pPr>
      <w:r>
        <w:rPr>
          <w:rFonts w:eastAsia="黑体"/>
          <w:sz w:val="32"/>
          <w:szCs w:val="32"/>
          <w:shd w:val="clear" w:color="auto" w:fill="FFFFFF"/>
        </w:rPr>
        <w:t>附件1</w:t>
      </w:r>
    </w:p>
    <w:p>
      <w:pPr>
        <w:pStyle w:val="9"/>
        <w:shd w:val="clear" w:color="auto" w:fill="FFFFFF"/>
        <w:spacing w:beforeAutospacing="0" w:afterAutospacing="0" w:line="560" w:lineRule="exact"/>
        <w:jc w:val="both"/>
        <w:rPr>
          <w:rFonts w:eastAsia="黑体"/>
          <w:sz w:val="32"/>
          <w:szCs w:val="32"/>
          <w:shd w:val="clear" w:color="auto" w:fill="FFFFFF"/>
        </w:rPr>
      </w:pPr>
    </w:p>
    <w:p>
      <w:pPr>
        <w:pStyle w:val="9"/>
        <w:shd w:val="clear" w:color="auto" w:fill="FFFFFF"/>
        <w:spacing w:beforeAutospacing="0" w:afterAutospacing="0" w:line="600" w:lineRule="exact"/>
        <w:ind w:firstLine="880" w:firstLineChars="200"/>
        <w:jc w:val="center"/>
        <w:rPr>
          <w:rFonts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2023年度广西科技界智库重点课题</w:t>
      </w:r>
    </w:p>
    <w:p>
      <w:pPr>
        <w:pStyle w:val="9"/>
        <w:shd w:val="clear" w:color="auto" w:fill="FFFFFF"/>
        <w:spacing w:beforeAutospacing="0" w:afterAutospacing="0" w:line="600" w:lineRule="exact"/>
        <w:jc w:val="center"/>
        <w:rPr>
          <w:rFonts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申报指南</w:t>
      </w:r>
    </w:p>
    <w:p>
      <w:pPr>
        <w:pStyle w:val="9"/>
        <w:shd w:val="clear" w:color="auto" w:fill="FFFFFF"/>
        <w:spacing w:beforeAutospacing="0" w:afterAutospacing="0" w:line="560" w:lineRule="exact"/>
        <w:ind w:firstLine="880" w:firstLineChars="200"/>
        <w:jc w:val="center"/>
        <w:rPr>
          <w:rFonts w:ascii="方正小标宋简体" w:hAnsi="方正小标宋简体" w:eastAsia="方正小标宋简体" w:cs="方正小标宋简体"/>
          <w:sz w:val="44"/>
          <w:szCs w:val="44"/>
          <w:shd w:val="clear" w:color="auto" w:fill="FFFFFF"/>
        </w:rPr>
      </w:pPr>
    </w:p>
    <w:p>
      <w:pPr>
        <w:pStyle w:val="9"/>
        <w:shd w:val="clear" w:color="auto" w:fill="FFFFFF"/>
        <w:spacing w:beforeAutospacing="0" w:afterAutospacing="0" w:line="560" w:lineRule="exact"/>
        <w:ind w:firstLine="640" w:firstLineChars="200"/>
        <w:jc w:val="both"/>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一、揭榜类课题基本要求</w:t>
      </w:r>
    </w:p>
    <w:p>
      <w:pPr>
        <w:pStyle w:val="9"/>
        <w:shd w:val="clear" w:color="auto" w:fill="FFFFFF"/>
        <w:spacing w:beforeAutospacing="0" w:afterAutospacing="0" w:line="560" w:lineRule="exact"/>
        <w:ind w:firstLine="640" w:firstLineChars="200"/>
        <w:jc w:val="both"/>
        <w:rPr>
          <w:rFonts w:eastAsia="仿宋_GB2312"/>
          <w:sz w:val="32"/>
          <w:szCs w:val="32"/>
          <w:shd w:val="clear" w:color="auto" w:fill="FFFFFF"/>
        </w:rPr>
      </w:pPr>
      <w:r>
        <w:rPr>
          <w:rFonts w:eastAsia="仿宋_GB2312"/>
          <w:sz w:val="32"/>
          <w:szCs w:val="32"/>
          <w:shd w:val="clear" w:color="auto" w:fill="FFFFFF"/>
        </w:rPr>
        <w:t>2023年拟组织开展五项揭榜类课题，基本要求如下：</w:t>
      </w:r>
    </w:p>
    <w:p>
      <w:pPr>
        <w:pStyle w:val="9"/>
        <w:shd w:val="clear" w:color="auto" w:fill="FFFFFF"/>
        <w:spacing w:beforeAutospacing="0" w:afterAutospacing="0" w:line="560" w:lineRule="exact"/>
        <w:ind w:firstLine="640" w:firstLineChars="200"/>
        <w:jc w:val="both"/>
        <w:rPr>
          <w:rFonts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（一）研究内容</w:t>
      </w:r>
    </w:p>
    <w:p>
      <w:pPr>
        <w:pStyle w:val="9"/>
        <w:shd w:val="clear" w:color="auto" w:fill="FFFFFF"/>
        <w:spacing w:beforeAutospacing="0" w:afterAutospacing="0" w:line="560" w:lineRule="exact"/>
        <w:ind w:firstLine="643" w:firstLineChars="200"/>
        <w:jc w:val="both"/>
        <w:rPr>
          <w:rFonts w:eastAsia="仿宋_GB2312"/>
          <w:b/>
          <w:bCs/>
          <w:kern w:val="2"/>
          <w:sz w:val="32"/>
          <w:szCs w:val="32"/>
        </w:rPr>
      </w:pPr>
      <w:r>
        <w:rPr>
          <w:rFonts w:eastAsia="仿宋_GB2312"/>
          <w:b/>
          <w:bCs/>
          <w:kern w:val="2"/>
          <w:sz w:val="32"/>
          <w:szCs w:val="32"/>
        </w:rPr>
        <w:t>1.我国与东南亚战略性矿产资源产业链供应安全合作研究</w:t>
      </w:r>
    </w:p>
    <w:p>
      <w:pPr>
        <w:pStyle w:val="9"/>
        <w:shd w:val="clear" w:color="auto" w:fill="FFFFFF"/>
        <w:spacing w:beforeAutospacing="0" w:afterAutospacing="0" w:line="560" w:lineRule="exact"/>
        <w:ind w:firstLine="616" w:firstLineChars="200"/>
        <w:jc w:val="both"/>
        <w:rPr>
          <w:rFonts w:ascii="仿宋_GB2312" w:hAnsi="Calibri" w:eastAsia="仿宋_GB2312"/>
          <w:spacing w:val="-6"/>
          <w:kern w:val="2"/>
          <w:sz w:val="32"/>
          <w:szCs w:val="32"/>
        </w:rPr>
      </w:pPr>
      <w:r>
        <w:rPr>
          <w:rFonts w:hint="eastAsia" w:ascii="仿宋_GB2312" w:hAnsi="Calibri" w:eastAsia="仿宋_GB2312"/>
          <w:spacing w:val="-6"/>
          <w:kern w:val="2"/>
          <w:sz w:val="32"/>
          <w:szCs w:val="32"/>
        </w:rPr>
        <w:t>在全球战略性矿产资源产业链供应逆全球化的形势下，加强我国与东南亚战略性矿产资源供应安全合作，对预防地缘政治突发事件带来的各种风险有重要作用。课题要求深入分析我国与东南亚开展战略性矿产资源产业链供应安全合作的现状、特点，可能存在的“断链”风险及其危害后果，从而提出做好强链设计和精准施策，打造我国与东南亚战略性矿产资源供应链安全合作机制。</w:t>
      </w:r>
    </w:p>
    <w:p>
      <w:pPr>
        <w:pStyle w:val="9"/>
        <w:shd w:val="clear" w:color="auto" w:fill="FFFFFF"/>
        <w:spacing w:beforeAutospacing="0" w:afterAutospacing="0" w:line="560" w:lineRule="exact"/>
        <w:ind w:firstLine="643" w:firstLineChars="200"/>
        <w:jc w:val="both"/>
        <w:rPr>
          <w:rFonts w:eastAsia="仿宋_GB2312"/>
          <w:b/>
          <w:bCs/>
          <w:sz w:val="32"/>
          <w:szCs w:val="32"/>
          <w:shd w:val="clear" w:color="auto" w:fill="FFFFFF"/>
        </w:rPr>
      </w:pPr>
      <w:r>
        <w:rPr>
          <w:rFonts w:eastAsia="仿宋_GB2312"/>
          <w:b/>
          <w:bCs/>
          <w:sz w:val="32"/>
          <w:szCs w:val="32"/>
          <w:shd w:val="clear" w:color="auto" w:fill="FFFFFF"/>
        </w:rPr>
        <w:t>2.广西构建全过程海洋科技创新生态链对策研究</w:t>
      </w:r>
    </w:p>
    <w:p>
      <w:pPr>
        <w:pStyle w:val="9"/>
        <w:shd w:val="clear" w:color="auto" w:fill="FFFFFF"/>
        <w:spacing w:beforeAutospacing="0" w:afterAutospacing="0" w:line="560" w:lineRule="exact"/>
        <w:ind w:firstLine="640" w:firstLineChars="200"/>
        <w:jc w:val="both"/>
        <w:rPr>
          <w:rFonts w:ascii="仿宋_GB2312" w:hAnsi="Calibri" w:eastAsia="仿宋_GB2312"/>
          <w:kern w:val="2"/>
          <w:sz w:val="32"/>
          <w:szCs w:val="32"/>
        </w:rPr>
      </w:pPr>
      <w:r>
        <w:rPr>
          <w:rFonts w:hint="eastAsia" w:ascii="仿宋_GB2312" w:hAnsi="Calibri" w:eastAsia="仿宋_GB2312"/>
          <w:kern w:val="2"/>
          <w:sz w:val="32"/>
          <w:szCs w:val="32"/>
        </w:rPr>
        <w:t>党的二十大报告提出“发展海洋经济，保护海洋生态环境，加快建设海洋强国”。“十四五”时期是广西实现海洋强区目标的重要战略机遇期，也是克服挑战、突破瓶颈的关键期。课题要求深入调研广西海洋科技创新与海洋产业结构发展现状，基于广西地理区位和资源禀赋，对开展全过程海洋科技创新生态链进行理论研究，结合广西实际，提出构建全过程海洋科技创新生态链的具体建议，为我区制定有关政策、完善海洋科技创新体系、提升海洋产业发展能级提供决策支撑。</w:t>
      </w:r>
    </w:p>
    <w:p>
      <w:pPr>
        <w:pStyle w:val="9"/>
        <w:shd w:val="clear" w:color="auto" w:fill="FFFFFF"/>
        <w:spacing w:beforeAutospacing="0" w:afterAutospacing="0" w:line="560" w:lineRule="exact"/>
        <w:ind w:firstLine="643" w:firstLineChars="200"/>
        <w:jc w:val="both"/>
        <w:rPr>
          <w:rFonts w:eastAsia="仿宋_GB2312"/>
          <w:b/>
          <w:bCs/>
          <w:sz w:val="32"/>
          <w:szCs w:val="32"/>
          <w:shd w:val="clear" w:color="auto" w:fill="FFFFFF"/>
        </w:rPr>
      </w:pPr>
      <w:r>
        <w:rPr>
          <w:rFonts w:eastAsia="仿宋_GB2312"/>
          <w:b/>
          <w:bCs/>
          <w:sz w:val="32"/>
          <w:szCs w:val="32"/>
          <w:shd w:val="clear" w:color="auto" w:fill="FFFFFF"/>
        </w:rPr>
        <w:t>3.广西辐射东盟的元宇宙产业发展人才技术储备高地建设及研究</w:t>
      </w:r>
    </w:p>
    <w:p>
      <w:pPr>
        <w:spacing w:line="560" w:lineRule="exact"/>
        <w:ind w:firstLine="640" w:firstLineChars="200"/>
        <w:textAlignment w:val="baseline"/>
        <w:rPr>
          <w:rFonts w:ascii="仿宋_GB2312" w:hAnsi="仿宋_GB2312" w:eastAsia="仿宋_GB2312"/>
          <w:sz w:val="32"/>
          <w:szCs w:val="32"/>
        </w:rPr>
      </w:pPr>
      <w:r>
        <w:rPr>
          <w:rFonts w:hint="eastAsia" w:ascii="仿宋_GB2312" w:hAnsi="仿宋_GB2312" w:eastAsia="仿宋_GB2312"/>
          <w:sz w:val="32"/>
          <w:szCs w:val="32"/>
        </w:rPr>
        <w:t>元宇宙作为新技术的集成应用，契合广西数字化转型发展的需要，推动广西元宇宙产业试点工作，能够促进广西实体经济发展，也是广西深化实施创新驱动发展战略和实现广西数字化转型发展的重要举措。课题要求分析我区元宇宙产业发展的现状、前景，提早做好元宇宙的知识产权布局，推动广西、辐射东盟国家的元宇宙产业试点建设，提出我区元宇宙产业发展的人才和技术储备高地建设路径。</w:t>
      </w:r>
    </w:p>
    <w:p>
      <w:pPr>
        <w:pStyle w:val="9"/>
        <w:shd w:val="clear" w:color="auto" w:fill="FFFFFF"/>
        <w:spacing w:beforeAutospacing="0" w:afterAutospacing="0" w:line="560" w:lineRule="exact"/>
        <w:ind w:firstLine="643" w:firstLineChars="200"/>
        <w:jc w:val="both"/>
        <w:rPr>
          <w:rFonts w:eastAsia="仿宋_GB2312"/>
          <w:b/>
          <w:bCs/>
          <w:sz w:val="32"/>
          <w:szCs w:val="32"/>
          <w:shd w:val="clear" w:color="auto" w:fill="FFFFFF"/>
        </w:rPr>
      </w:pPr>
      <w:r>
        <w:rPr>
          <w:rFonts w:eastAsia="仿宋_GB2312"/>
          <w:b/>
          <w:bCs/>
          <w:sz w:val="32"/>
          <w:szCs w:val="32"/>
          <w:shd w:val="clear" w:color="auto" w:fill="FFFFFF"/>
        </w:rPr>
        <w:t>4.广西科研院所科技创新绩效评价建立及研究</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党的二十大明确提出，要深化科技评价改革，形成支持全面创新的基础制度。近年来自治区党委、政府陆续出台一系列改革发展政策规定，不断深化科研院所体制改革，取得了不错的效果，但是当前广西区内对科研院所科技创新工作评价研究系统性不足，依然缺乏一套有效的科研绩效指标考核体系来科学反映科研院所工作成效。课题要求通过收集区内外科研院所政策和数据，分析广西科研院所科技创新工作的不足；针对科研院所科研工作特点，设计一套科研院所科技创新绩效考核指标体系，为我区科研院所改革发展提供必要的理论依据和参考。</w:t>
      </w:r>
    </w:p>
    <w:p>
      <w:pPr>
        <w:pStyle w:val="9"/>
        <w:shd w:val="clear" w:color="auto" w:fill="FFFFFF"/>
        <w:spacing w:beforeAutospacing="0" w:afterAutospacing="0" w:line="560" w:lineRule="exact"/>
        <w:ind w:firstLine="643" w:firstLineChars="200"/>
        <w:jc w:val="both"/>
        <w:rPr>
          <w:rFonts w:eastAsia="仿宋_GB2312"/>
          <w:b/>
          <w:bCs/>
          <w:sz w:val="32"/>
          <w:szCs w:val="32"/>
        </w:rPr>
      </w:pPr>
      <w:r>
        <w:rPr>
          <w:rFonts w:eastAsia="仿宋_GB2312"/>
          <w:b/>
          <w:bCs/>
          <w:sz w:val="32"/>
          <w:szCs w:val="32"/>
          <w:shd w:val="clear" w:color="auto" w:fill="FFFFFF"/>
        </w:rPr>
        <w:t>5.</w:t>
      </w:r>
      <w:r>
        <w:rPr>
          <w:rFonts w:eastAsia="仿宋_GB2312"/>
          <w:b/>
          <w:bCs/>
          <w:sz w:val="32"/>
          <w:szCs w:val="32"/>
        </w:rPr>
        <w:t>广西碳酸钙产业创新体系建设的实践与对策研究</w:t>
      </w:r>
    </w:p>
    <w:p>
      <w:pPr>
        <w:pStyle w:val="9"/>
        <w:shd w:val="clear" w:color="auto" w:fill="FFFFFF"/>
        <w:spacing w:beforeAutospacing="0" w:afterAutospacing="0" w:line="560" w:lineRule="exact"/>
        <w:ind w:firstLine="640" w:firstLineChars="200"/>
        <w:jc w:val="both"/>
        <w:rPr>
          <w:rFonts w:ascii="仿宋_GB2312" w:hAnsi="仿宋_GB2312" w:eastAsia="仿宋_GB2312"/>
          <w:sz w:val="32"/>
          <w:szCs w:val="32"/>
        </w:rPr>
      </w:pPr>
      <w:r>
        <w:rPr>
          <w:rFonts w:hint="eastAsia" w:ascii="仿宋_GB2312" w:hAnsi="仿宋_GB2312" w:eastAsia="仿宋_GB2312" w:cs="仿宋_GB2312"/>
          <w:sz w:val="32"/>
          <w:szCs w:val="32"/>
          <w:shd w:val="clear" w:color="auto" w:fill="FFFFFF"/>
        </w:rPr>
        <w:t>碳酸钙产业是我区重点培育的千亿元产业，但是</w:t>
      </w:r>
      <w:r>
        <w:rPr>
          <w:rFonts w:hint="eastAsia" w:ascii="仿宋_GB2312" w:hAnsi="仿宋_GB2312" w:eastAsia="仿宋_GB2312"/>
          <w:sz w:val="32"/>
          <w:szCs w:val="32"/>
        </w:rPr>
        <w:t>作为传统的资源型产业,广西碳酸钙产业在发展过程中存在产业链不完善、环境污染比较严重等诸多问题,产业转型升级迫在眉睫。课题要求对广西碳酸钙产业创新体系建设的实践成果、存在问题及面临困境进行梳理研究，以问题为导向，提出广西碳酸钙产业创新体系建设路径，推动产业高质量发展。</w:t>
      </w:r>
    </w:p>
    <w:p>
      <w:pPr>
        <w:pStyle w:val="9"/>
        <w:shd w:val="clear" w:color="auto" w:fill="FFFFFF"/>
        <w:spacing w:beforeAutospacing="0" w:afterAutospacing="0" w:line="560" w:lineRule="exact"/>
        <w:ind w:firstLine="640" w:firstLineChars="200"/>
        <w:jc w:val="both"/>
        <w:rPr>
          <w:rFonts w:ascii="仿宋_GB2312" w:eastAsia="仿宋_GB2312"/>
          <w:kern w:val="2"/>
          <w:sz w:val="32"/>
          <w:szCs w:val="32"/>
        </w:rPr>
      </w:pPr>
      <w:r>
        <w:rPr>
          <w:rFonts w:hint="eastAsia" w:ascii="楷体_GB2312" w:hAnsi="楷体_GB2312" w:eastAsia="楷体_GB2312" w:cs="楷体_GB2312"/>
          <w:sz w:val="32"/>
          <w:szCs w:val="32"/>
          <w:shd w:val="clear" w:color="auto" w:fill="FFFFFF"/>
        </w:rPr>
        <w:t>（二）经费安排。</w:t>
      </w:r>
      <w:r>
        <w:rPr>
          <w:rFonts w:eastAsia="仿宋_GB2312"/>
          <w:kern w:val="2"/>
          <w:sz w:val="32"/>
          <w:szCs w:val="32"/>
        </w:rPr>
        <w:t>每个课题给予5万元研究经费。研究经</w:t>
      </w:r>
      <w:r>
        <w:rPr>
          <w:rFonts w:hint="eastAsia" w:ascii="仿宋_GB2312" w:eastAsia="仿宋_GB2312"/>
          <w:kern w:val="2"/>
          <w:sz w:val="32"/>
          <w:szCs w:val="32"/>
        </w:rPr>
        <w:t>费实行“包干制”，不足部分承担单位可自行安排配套资金或自筹解决。</w:t>
      </w:r>
    </w:p>
    <w:p>
      <w:pPr>
        <w:spacing w:line="560" w:lineRule="exact"/>
        <w:ind w:firstLine="640" w:firstLineChars="200"/>
        <w:rPr>
          <w:rFonts w:eastAsia="仿宋_GB2312"/>
          <w:sz w:val="32"/>
          <w:szCs w:val="32"/>
          <w:shd w:val="clear" w:color="auto" w:fill="FFFFFF"/>
        </w:rPr>
      </w:pPr>
      <w:r>
        <w:rPr>
          <w:rFonts w:hint="eastAsia" w:ascii="楷体_GB2312" w:hAnsi="楷体_GB2312" w:eastAsia="楷体_GB2312" w:cs="楷体_GB2312"/>
          <w:sz w:val="32"/>
          <w:szCs w:val="32"/>
          <w:shd w:val="clear" w:color="auto" w:fill="FFFFFF"/>
        </w:rPr>
        <w:t>（三）结项要求。</w:t>
      </w:r>
      <w:r>
        <w:rPr>
          <w:rFonts w:eastAsia="仿宋_GB2312"/>
          <w:sz w:val="32"/>
          <w:szCs w:val="32"/>
          <w:shd w:val="clear" w:color="auto" w:fill="FFFFFF"/>
        </w:rPr>
        <w:t>2023年11月30日前提交不少于2万字的研究报告1份，约3500字的决策咨询专报1份。</w:t>
      </w:r>
      <w:r>
        <w:rPr>
          <w:rFonts w:eastAsia="仿宋_GB2312"/>
          <w:sz w:val="32"/>
          <w:szCs w:val="32"/>
        </w:rPr>
        <w:t>要求知网查重全文总文字复制比不超过20%，其中主要研究结论和对策措施的文字复制比不超过10%，课题组发表的与本课题相关且标注为自治区科协专项立项的研究成果（论文、著作等）中的文字不计入文字复制比。</w:t>
      </w:r>
      <w:r>
        <w:rPr>
          <w:rFonts w:eastAsia="仿宋_GB2312"/>
          <w:sz w:val="32"/>
          <w:szCs w:val="32"/>
          <w:shd w:val="clear" w:color="auto" w:fill="FFFFFF"/>
        </w:rPr>
        <w:t>经现场专家评审，符合结项要求的课题，将颁发结题证书。逾期提交视为违约。</w:t>
      </w:r>
    </w:p>
    <w:p>
      <w:pPr>
        <w:pStyle w:val="9"/>
        <w:shd w:val="clear" w:color="auto" w:fill="FFFFFF"/>
        <w:spacing w:beforeAutospacing="0" w:afterAutospacing="0" w:line="560" w:lineRule="exact"/>
        <w:ind w:firstLine="640" w:firstLineChars="200"/>
        <w:jc w:val="both"/>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二、培育类课题基本要求</w:t>
      </w:r>
    </w:p>
    <w:p>
      <w:pPr>
        <w:pStyle w:val="9"/>
        <w:shd w:val="clear" w:color="auto" w:fill="FFFFFF"/>
        <w:spacing w:beforeAutospacing="0" w:afterAutospacing="0" w:line="560" w:lineRule="exact"/>
        <w:ind w:firstLine="640" w:firstLineChars="200"/>
        <w:jc w:val="both"/>
        <w:rPr>
          <w:rFonts w:eastAsia="仿宋_GB2312"/>
          <w:sz w:val="32"/>
          <w:szCs w:val="32"/>
          <w:shd w:val="clear" w:color="auto" w:fill="FFFFFF"/>
        </w:rPr>
      </w:pPr>
      <w:r>
        <w:rPr>
          <w:rFonts w:eastAsia="仿宋_GB2312"/>
          <w:sz w:val="32"/>
          <w:szCs w:val="32"/>
          <w:shd w:val="clear" w:color="auto" w:fill="FFFFFF"/>
        </w:rPr>
        <w:t>2023年拟组织开展13项培育类课题，基本要求如下：</w:t>
      </w:r>
    </w:p>
    <w:p>
      <w:pPr>
        <w:pStyle w:val="9"/>
        <w:shd w:val="clear" w:color="auto" w:fill="FFFFFF"/>
        <w:spacing w:beforeAutospacing="0" w:afterAutospacing="0" w:line="560" w:lineRule="exact"/>
        <w:ind w:firstLine="640" w:firstLineChars="200"/>
        <w:jc w:val="both"/>
        <w:rPr>
          <w:rFonts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（一）研究内容</w:t>
      </w:r>
    </w:p>
    <w:p>
      <w:pPr>
        <w:spacing w:line="560" w:lineRule="exact"/>
        <w:ind w:firstLine="643" w:firstLineChars="200"/>
        <w:rPr>
          <w:rFonts w:ascii="仿宋_GB2312" w:hAnsi="仿宋_GB2312" w:eastAsia="仿宋_GB2312"/>
          <w:b/>
          <w:bCs/>
          <w:kern w:val="0"/>
          <w:sz w:val="32"/>
          <w:szCs w:val="32"/>
        </w:rPr>
      </w:pPr>
      <w:r>
        <w:rPr>
          <w:rFonts w:hint="eastAsia" w:ascii="仿宋_GB2312" w:hAnsi="仿宋_GB2312" w:eastAsia="仿宋_GB2312"/>
          <w:b/>
          <w:bCs/>
          <w:kern w:val="0"/>
          <w:sz w:val="32"/>
          <w:szCs w:val="32"/>
        </w:rPr>
        <w:t>1.新时代科学家精神弘扬与推广展示研究</w:t>
      </w:r>
    </w:p>
    <w:p>
      <w:pPr>
        <w:pStyle w:val="9"/>
        <w:shd w:val="clear" w:color="auto" w:fill="FFFFFF"/>
        <w:spacing w:beforeAutospacing="0" w:afterAutospacing="0" w:line="560" w:lineRule="exact"/>
        <w:ind w:firstLine="640" w:firstLineChars="200"/>
        <w:jc w:val="both"/>
        <w:rPr>
          <w:rFonts w:ascii="仿宋_GB2312" w:hAnsi="仿宋_GB2312" w:eastAsia="仿宋_GB2312"/>
          <w:sz w:val="32"/>
          <w:szCs w:val="32"/>
        </w:rPr>
      </w:pPr>
      <w:r>
        <w:rPr>
          <w:rFonts w:ascii="仿宋_GB2312" w:hAnsi="仿宋_GB2312" w:eastAsia="仿宋_GB2312"/>
          <w:sz w:val="32"/>
          <w:szCs w:val="32"/>
        </w:rPr>
        <w:t>党的二十大报告指出，培育创新文化，弘扬科学家精神，涵养优良学风，营造创新氛围。</w:t>
      </w:r>
      <w:r>
        <w:rPr>
          <w:rFonts w:hint="eastAsia" w:ascii="仿宋_GB2312" w:eastAsia="仿宋_GB2312"/>
          <w:sz w:val="32"/>
          <w:szCs w:val="32"/>
        </w:rPr>
        <w:t>科学家精神是科技工作者追求科学真理、推动科技创新的内在动力，同时也是激发人民群众创造活力的关键要素。</w:t>
      </w:r>
      <w:r>
        <w:rPr>
          <w:rFonts w:hint="eastAsia" w:ascii="仿宋_GB2312" w:hAnsi="仿宋_GB2312" w:eastAsia="仿宋_GB2312"/>
          <w:sz w:val="32"/>
          <w:szCs w:val="32"/>
        </w:rPr>
        <w:t>课题要求就我区宣传弘扬新时代中国科学家精神现状和成效进行研究和评价，结合科技人才培养、科技创新文化培育、青少年、高校师生思政教育、</w:t>
      </w:r>
      <w:r>
        <w:rPr>
          <w:rFonts w:hint="eastAsia" w:ascii="仿宋_GB2312" w:eastAsia="仿宋_GB2312"/>
          <w:sz w:val="32"/>
          <w:szCs w:val="32"/>
        </w:rPr>
        <w:t>融媒体传播、</w:t>
      </w:r>
      <w:r>
        <w:rPr>
          <w:rFonts w:hint="eastAsia" w:ascii="仿宋_GB2312" w:hAnsi="仿宋_GB2312" w:eastAsia="仿宋_GB2312"/>
          <w:sz w:val="32"/>
          <w:szCs w:val="32"/>
        </w:rPr>
        <w:t>宣传推广展示等，</w:t>
      </w:r>
      <w:r>
        <w:rPr>
          <w:rFonts w:hint="eastAsia" w:ascii="仿宋_GB2312" w:eastAsia="仿宋_GB2312"/>
          <w:sz w:val="32"/>
          <w:szCs w:val="32"/>
        </w:rPr>
        <w:t>提出对策建议，</w:t>
      </w:r>
      <w:r>
        <w:rPr>
          <w:rFonts w:hint="eastAsia" w:ascii="仿宋_GB2312" w:hAnsi="仿宋_GB2312" w:eastAsia="仿宋_GB2312"/>
          <w:sz w:val="32"/>
          <w:szCs w:val="32"/>
        </w:rPr>
        <w:t>助推壮美广西发展。</w:t>
      </w:r>
    </w:p>
    <w:p>
      <w:pPr>
        <w:pStyle w:val="9"/>
        <w:shd w:val="clear" w:color="auto" w:fill="FFFFFF"/>
        <w:spacing w:beforeAutospacing="0" w:afterAutospacing="0" w:line="560" w:lineRule="exact"/>
        <w:ind w:firstLine="643" w:firstLineChars="200"/>
        <w:jc w:val="both"/>
        <w:rPr>
          <w:rFonts w:eastAsia="仿宋_GB2312"/>
          <w:b/>
          <w:sz w:val="32"/>
          <w:szCs w:val="32"/>
          <w:shd w:val="clear" w:color="auto" w:fill="FFFFFF"/>
        </w:rPr>
      </w:pPr>
      <w:r>
        <w:rPr>
          <w:rFonts w:eastAsia="仿宋_GB2312"/>
          <w:b/>
          <w:sz w:val="32"/>
          <w:szCs w:val="32"/>
          <w:shd w:val="clear" w:color="auto" w:fill="FFFFFF"/>
        </w:rPr>
        <w:t>2.平陆运河创新型科技人才培养模式研究</w:t>
      </w:r>
    </w:p>
    <w:p>
      <w:pPr>
        <w:spacing w:line="560" w:lineRule="exact"/>
        <w:ind w:firstLine="640" w:firstLineChars="200"/>
        <w:jc w:val="left"/>
        <w:textAlignment w:val="baseline"/>
        <w:rPr>
          <w:rFonts w:ascii="仿宋_GB2312" w:hAnsi="仿宋_GB2312" w:eastAsia="仿宋_GB2312"/>
          <w:sz w:val="32"/>
          <w:szCs w:val="32"/>
        </w:rPr>
      </w:pPr>
      <w:r>
        <w:rPr>
          <w:rFonts w:hint="eastAsia" w:ascii="仿宋_GB2312" w:hAnsi="仿宋_GB2312" w:eastAsia="仿宋_GB2312"/>
          <w:sz w:val="32"/>
          <w:szCs w:val="32"/>
        </w:rPr>
        <w:t>平陆运河建设是党中央、国务院作出的重大决策部署，是西部陆海新通道的骨干工程。平陆运河的经济带、产业带、文化带建设离不开人才资源的开发、利用及支撑作用。课题要求深入实地调研，对运河建设、运营等全过程进行创新型人才培养模式进行研究，对新时代运河建设发展对人才的需求及要求进行综合分析，针对现状及平陆运河建设的特点及新时代的要求，提出科技人才创新体系构建及实施的路径、模式、具体措施，从而实现运河建设的可持续发展，夯实科技人才支撑基础。</w:t>
      </w:r>
    </w:p>
    <w:p>
      <w:pPr>
        <w:spacing w:line="560" w:lineRule="exact"/>
        <w:ind w:firstLine="643" w:firstLineChars="200"/>
        <w:rPr>
          <w:rFonts w:eastAsia="仿宋_GB2312"/>
          <w:b/>
          <w:bCs/>
          <w:kern w:val="0"/>
          <w:sz w:val="32"/>
          <w:szCs w:val="32"/>
        </w:rPr>
      </w:pPr>
      <w:r>
        <w:rPr>
          <w:rFonts w:hint="eastAsia" w:eastAsia="仿宋_GB2312"/>
          <w:b/>
          <w:bCs/>
          <w:kern w:val="0"/>
          <w:sz w:val="32"/>
          <w:szCs w:val="32"/>
        </w:rPr>
        <w:t>3.新时期广西科技社团（学会）发展状况调查</w:t>
      </w:r>
    </w:p>
    <w:p>
      <w:pPr>
        <w:spacing w:line="560" w:lineRule="exact"/>
        <w:ind w:firstLine="640" w:firstLineChars="200"/>
        <w:rPr>
          <w:rFonts w:ascii="仿宋_GB2312" w:hAnsi="仿宋_GB2312" w:eastAsia="仿宋_GB2312"/>
          <w:kern w:val="0"/>
          <w:sz w:val="32"/>
          <w:szCs w:val="32"/>
        </w:rPr>
      </w:pPr>
      <w:r>
        <w:rPr>
          <w:rFonts w:hint="eastAsia" w:ascii="仿宋_GB2312" w:hAnsi="仿宋_GB2312" w:eastAsia="仿宋_GB2312"/>
          <w:kern w:val="0"/>
          <w:sz w:val="32"/>
          <w:szCs w:val="32"/>
        </w:rPr>
        <w:t>科技社团（学会）是党和政府团结联系广大科技工作者的桥梁纽带，是国家创新体系的重要组成部分，是建设科技强国的重要力量。课题要求深入科技社团（学会）调研，了解和掌握新时期科技社团（学会）基本情况和发展动态，聚焦科技社团（学会）在改革发展中遇到的难点、痛点问题，提出务实可操作的有效有力措施，推动构建面向现代化的科技社团（学会）发展新格局，促进我区科技社团（学会）高质量发展。</w:t>
      </w:r>
    </w:p>
    <w:p>
      <w:pPr>
        <w:spacing w:line="560" w:lineRule="exact"/>
        <w:ind w:firstLine="643" w:firstLineChars="200"/>
        <w:rPr>
          <w:rFonts w:eastAsia="仿宋_GB2312"/>
          <w:b/>
          <w:bCs/>
          <w:kern w:val="0"/>
          <w:sz w:val="32"/>
          <w:szCs w:val="32"/>
        </w:rPr>
      </w:pPr>
      <w:r>
        <w:rPr>
          <w:rFonts w:eastAsia="仿宋_GB2312"/>
          <w:b/>
          <w:bCs/>
          <w:kern w:val="0"/>
          <w:sz w:val="32"/>
          <w:szCs w:val="32"/>
        </w:rPr>
        <w:t>4.广西创新方法推广应用体系构建路径及发展对策研究</w:t>
      </w:r>
    </w:p>
    <w:p>
      <w:pPr>
        <w:spacing w:line="560" w:lineRule="exact"/>
        <w:ind w:firstLine="640" w:firstLineChars="200"/>
        <w:rPr>
          <w:rFonts w:ascii="仿宋_GB2312" w:hAnsi="仿宋_GB2312" w:eastAsia="仿宋_GB2312"/>
          <w:kern w:val="0"/>
          <w:sz w:val="32"/>
          <w:szCs w:val="32"/>
        </w:rPr>
      </w:pPr>
      <w:r>
        <w:rPr>
          <w:rFonts w:hint="eastAsia" w:ascii="仿宋_GB2312" w:hAnsi="仿宋_GB2312" w:eastAsia="仿宋_GB2312"/>
          <w:kern w:val="0"/>
          <w:sz w:val="32"/>
          <w:szCs w:val="32"/>
        </w:rPr>
        <w:t>课题要求通过分析研究广西创新方法推广应用现状，从目前已逐步形成包</w:t>
      </w:r>
      <w:r>
        <w:rPr>
          <w:rFonts w:eastAsia="仿宋_GB2312"/>
          <w:kern w:val="0"/>
          <w:sz w:val="32"/>
          <w:szCs w:val="32"/>
        </w:rPr>
        <w:t>含TRIZ、工</w:t>
      </w:r>
      <w:r>
        <w:rPr>
          <w:rFonts w:hint="eastAsia" w:ascii="仿宋_GB2312" w:hAnsi="仿宋_GB2312" w:eastAsia="仿宋_GB2312"/>
          <w:kern w:val="0"/>
          <w:sz w:val="32"/>
          <w:szCs w:val="32"/>
        </w:rPr>
        <w:t>业工程、管理创新等内容完整的理论体系，有针对性地用于指导解决工业、建筑等多方面发展的“堵点难点”和“短板”，通过区内外的先进经验、做法，探索广西创新方法推广应用模式，提出符合广西发展的对策建议。</w:t>
      </w:r>
    </w:p>
    <w:p>
      <w:pPr>
        <w:pStyle w:val="9"/>
        <w:shd w:val="clear" w:color="auto" w:fill="FFFFFF"/>
        <w:spacing w:beforeAutospacing="0" w:afterAutospacing="0" w:line="560" w:lineRule="exact"/>
        <w:ind w:firstLine="643" w:firstLineChars="200"/>
        <w:jc w:val="both"/>
        <w:rPr>
          <w:rFonts w:eastAsia="仿宋_GB2312"/>
          <w:b/>
          <w:sz w:val="32"/>
          <w:szCs w:val="32"/>
          <w:shd w:val="clear" w:color="auto" w:fill="FFFFFF"/>
        </w:rPr>
      </w:pPr>
      <w:r>
        <w:rPr>
          <w:rFonts w:eastAsia="仿宋_GB2312"/>
          <w:b/>
          <w:sz w:val="32"/>
          <w:szCs w:val="32"/>
          <w:shd w:val="clear" w:color="auto" w:fill="FFFFFF"/>
        </w:rPr>
        <w:t>5.创新改革农技协引领乡村振兴的对策研究</w:t>
      </w:r>
    </w:p>
    <w:p>
      <w:pPr>
        <w:pStyle w:val="9"/>
        <w:shd w:val="clear" w:color="auto" w:fill="FFFFFF"/>
        <w:spacing w:beforeAutospacing="0" w:afterAutospacing="0" w:line="560" w:lineRule="exact"/>
        <w:ind w:firstLine="640" w:firstLineChars="200"/>
        <w:jc w:val="both"/>
        <w:rPr>
          <w:rFonts w:ascii="仿宋_GB2312" w:hAnsi="仿宋_GB2312" w:eastAsia="仿宋_GB2312"/>
          <w:sz w:val="32"/>
          <w:szCs w:val="32"/>
        </w:rPr>
      </w:pPr>
      <w:r>
        <w:rPr>
          <w:rFonts w:hint="eastAsia" w:ascii="仿宋_GB2312" w:hAnsi="仿宋_GB2312" w:eastAsia="仿宋_GB2312"/>
          <w:sz w:val="32"/>
          <w:szCs w:val="32"/>
        </w:rPr>
        <w:t>新时代新征程新使命召唤农技协应有大作为，特别是在乡村振兴的伟大事业中，服务农村发展的基层农技协应该成为主力军，但现实是农技协数量锐减，活跃度越来越弱，社会影响力越来越小，现实的困境令基层农技协无法大作为，基层农技协创新改革已势在必行。课题要求深入调研我区农技协发展状况和存在的突出问题，提出农技协改革的思路和对策，促进我区农技协高质量发展，服务全区乡村振兴大局。</w:t>
      </w:r>
    </w:p>
    <w:p>
      <w:pPr>
        <w:pStyle w:val="9"/>
        <w:shd w:val="clear" w:color="auto" w:fill="FFFFFF"/>
        <w:spacing w:beforeAutospacing="0" w:afterAutospacing="0" w:line="560" w:lineRule="exact"/>
        <w:ind w:firstLine="643" w:firstLineChars="200"/>
        <w:jc w:val="both"/>
        <w:rPr>
          <w:rFonts w:eastAsia="仿宋_GB2312"/>
          <w:b/>
          <w:bCs/>
          <w:sz w:val="32"/>
          <w:szCs w:val="32"/>
        </w:rPr>
      </w:pPr>
      <w:r>
        <w:rPr>
          <w:rFonts w:eastAsia="仿宋_GB2312"/>
          <w:b/>
          <w:bCs/>
          <w:sz w:val="32"/>
          <w:szCs w:val="32"/>
        </w:rPr>
        <w:t>6.青少年科技创新人才培育机制研究</w:t>
      </w:r>
    </w:p>
    <w:p>
      <w:pPr>
        <w:pStyle w:val="9"/>
        <w:shd w:val="clear" w:color="auto" w:fill="FFFFFF"/>
        <w:spacing w:beforeAutospacing="0" w:afterAutospacing="0" w:line="560" w:lineRule="exact"/>
        <w:ind w:firstLine="640" w:firstLineChars="200"/>
        <w:jc w:val="both"/>
        <w:rPr>
          <w:rFonts w:ascii="仿宋_GB2312" w:hAnsi="仿宋_GB2312" w:eastAsia="仿宋_GB2312"/>
          <w:sz w:val="32"/>
          <w:szCs w:val="32"/>
        </w:rPr>
      </w:pPr>
      <w:r>
        <w:rPr>
          <w:rFonts w:hint="eastAsia" w:ascii="仿宋_GB2312" w:hAnsi="仿宋_GB2312" w:eastAsia="仿宋_GB2312"/>
          <w:sz w:val="32"/>
          <w:szCs w:val="32"/>
        </w:rPr>
        <w:t>大力培育青少年科技人才是实现高水平科技自立自强、建设世界科技强国的必然要求，是政府、社会和家庭的共同责任。课题要求调研全国和广西青少年科技教育工作的现状，从机制建设层面全面梳理各主体在培育工作中的需求、困难以及职责，分析人才培育链条以及全社会联动共建的堵点和断点，提出完善和优化广西青少年科技创新人才培育机制的措施，为培育大批具备科学家潜质、愿意献身科学研究事业的青少年群体创造良好环境和有利条件。</w:t>
      </w:r>
    </w:p>
    <w:p>
      <w:pPr>
        <w:pStyle w:val="9"/>
        <w:shd w:val="clear" w:color="auto" w:fill="FFFFFF"/>
        <w:spacing w:beforeAutospacing="0" w:afterAutospacing="0" w:line="560" w:lineRule="exact"/>
        <w:ind w:firstLine="643" w:firstLineChars="200"/>
        <w:jc w:val="both"/>
        <w:rPr>
          <w:rFonts w:eastAsia="仿宋_GB2312"/>
          <w:b/>
          <w:bCs/>
          <w:sz w:val="32"/>
          <w:szCs w:val="32"/>
        </w:rPr>
      </w:pPr>
      <w:r>
        <w:rPr>
          <w:rFonts w:eastAsia="仿宋_GB2312"/>
          <w:b/>
          <w:bCs/>
          <w:sz w:val="32"/>
          <w:szCs w:val="32"/>
        </w:rPr>
        <w:t>7.现代科技馆体系科普资源建设和应用研究</w:t>
      </w:r>
    </w:p>
    <w:p>
      <w:pPr>
        <w:pStyle w:val="9"/>
        <w:shd w:val="clear" w:color="auto" w:fill="FFFFFF"/>
        <w:spacing w:beforeAutospacing="0" w:afterAutospacing="0" w:line="560" w:lineRule="exact"/>
        <w:ind w:firstLine="640" w:firstLineChars="200"/>
        <w:jc w:val="both"/>
        <w:rPr>
          <w:rFonts w:ascii="仿宋_GB2312" w:hAnsi="仿宋_GB2312" w:eastAsia="仿宋_GB2312"/>
          <w:sz w:val="32"/>
          <w:szCs w:val="32"/>
        </w:rPr>
      </w:pPr>
      <w:r>
        <w:rPr>
          <w:rFonts w:hint="eastAsia" w:ascii="仿宋_GB2312" w:hAnsi="仿宋_GB2312" w:eastAsia="仿宋_GB2312"/>
          <w:sz w:val="32"/>
          <w:szCs w:val="32"/>
        </w:rPr>
        <w:t>近年来，广西现代科技馆体系日益完善，科普资源供给侧改革深入发展。课题要求全面梳理科技馆体系的资源形式和构成、供给方式和渠道、应用现状和前景，研究提出如何提升资源建设的质量、效率和水平，以及应用推广的有效途径，建立推动新时代科普工作高发展的科普资源供应体系。</w:t>
      </w:r>
    </w:p>
    <w:p>
      <w:pPr>
        <w:pStyle w:val="9"/>
        <w:shd w:val="clear" w:color="auto" w:fill="FFFFFF"/>
        <w:spacing w:beforeAutospacing="0" w:afterAutospacing="0" w:line="560" w:lineRule="exact"/>
        <w:ind w:firstLine="643" w:firstLineChars="200"/>
        <w:jc w:val="both"/>
        <w:rPr>
          <w:rFonts w:ascii="仿宋_GB2312" w:hAnsi="仿宋_GB2312" w:eastAsia="仿宋_GB2312"/>
          <w:b/>
          <w:bCs/>
          <w:sz w:val="32"/>
          <w:szCs w:val="32"/>
        </w:rPr>
      </w:pPr>
      <w:r>
        <w:rPr>
          <w:rFonts w:eastAsia="仿宋_GB2312"/>
          <w:b/>
          <w:bCs/>
          <w:sz w:val="32"/>
          <w:szCs w:val="32"/>
        </w:rPr>
        <w:t>8.抓</w:t>
      </w:r>
      <w:r>
        <w:rPr>
          <w:rFonts w:hint="eastAsia" w:ascii="仿宋_GB2312" w:hAnsi="仿宋_GB2312" w:eastAsia="仿宋_GB2312"/>
          <w:b/>
          <w:bCs/>
          <w:sz w:val="32"/>
          <w:szCs w:val="32"/>
        </w:rPr>
        <w:t>住科学教育“加法”新机遇，培育青少年“科普+教育”新体系的实践与探究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习近平总书记强调：“要在教育‘双减’中做好科学教育加法”。青少年时期是树立理想、培养兴趣的关键期。课题要求深入探究当前我区组织开展分级化、专业化、多样化青少年科技竞赛及科普研学活动现状，从而提出科普助力“双减”工作推进方向及协作模式，搭建青少年实践交流新平台，培育多彩多元的科普+教育新体系，助推“双减”工作真正做到减负提质，力促我区青少年科学素养提升。</w:t>
      </w:r>
    </w:p>
    <w:p>
      <w:pPr>
        <w:pStyle w:val="9"/>
        <w:shd w:val="clear" w:color="auto" w:fill="FFFFFF"/>
        <w:spacing w:beforeAutospacing="0" w:afterAutospacing="0" w:line="560" w:lineRule="exact"/>
        <w:ind w:firstLine="643" w:firstLineChars="200"/>
        <w:jc w:val="both"/>
        <w:rPr>
          <w:rFonts w:eastAsia="仿宋_GB2312"/>
          <w:b/>
          <w:bCs/>
          <w:sz w:val="32"/>
          <w:szCs w:val="32"/>
        </w:rPr>
      </w:pPr>
      <w:r>
        <w:rPr>
          <w:rFonts w:eastAsia="仿宋_GB2312"/>
          <w:b/>
          <w:bCs/>
          <w:sz w:val="32"/>
          <w:szCs w:val="32"/>
        </w:rPr>
        <w:t>9.社交媒体视域下网络谣言的传播动因及治理策略研究</w:t>
      </w: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社交媒体的兴起让一些谣言、伪科普大行其道，造成了诸多负面影响。在构建社会化科普发展格局的当下，我们更需要重视科普内容的科学性、严谨性，加大谣言治理力度，严厉打击“伪科普”和顽固谣言，传播科学正能量，真正让科普服务于百姓美好生活，服务于国民经济高质量发展。课题要求结合近年来典型的公共事件发生后网络谣言的表现形式、传播动因进行深入分析，从而提出政府、网络平台、传统媒体、社会组织、意见领袖等多元主体协同治理网络谣言的治理策略。</w:t>
      </w:r>
    </w:p>
    <w:p>
      <w:pPr>
        <w:pStyle w:val="9"/>
        <w:shd w:val="clear" w:color="auto" w:fill="FFFFFF"/>
        <w:spacing w:beforeAutospacing="0" w:afterAutospacing="0" w:line="560" w:lineRule="exact"/>
        <w:ind w:firstLine="643" w:firstLineChars="200"/>
        <w:jc w:val="both"/>
        <w:rPr>
          <w:rFonts w:eastAsia="仿宋_GB2312"/>
          <w:b/>
          <w:bCs/>
          <w:sz w:val="32"/>
          <w:szCs w:val="32"/>
        </w:rPr>
      </w:pPr>
      <w:r>
        <w:rPr>
          <w:rFonts w:eastAsia="仿宋_GB2312"/>
          <w:b/>
          <w:bCs/>
          <w:sz w:val="32"/>
          <w:szCs w:val="32"/>
        </w:rPr>
        <w:t>10.新时代党建在融合联动科学普及实践中的作用研究</w:t>
      </w:r>
    </w:p>
    <w:p>
      <w:pPr>
        <w:pStyle w:val="9"/>
        <w:shd w:val="clear" w:color="auto" w:fill="FFFFFF"/>
        <w:spacing w:beforeAutospacing="0" w:afterAutospacing="0" w:line="560" w:lineRule="exact"/>
        <w:ind w:firstLine="640" w:firstLineChars="200"/>
        <w:jc w:val="both"/>
        <w:rPr>
          <w:rFonts w:ascii="仿宋_GB2312" w:hAnsi="仿宋_GB2312" w:eastAsia="仿宋_GB2312"/>
          <w:sz w:val="32"/>
          <w:szCs w:val="32"/>
        </w:rPr>
      </w:pPr>
      <w:r>
        <w:rPr>
          <w:rFonts w:hint="eastAsia" w:ascii="仿宋_GB2312" w:hAnsi="仿宋_GB2312" w:eastAsia="仿宋_GB2312"/>
          <w:sz w:val="32"/>
          <w:szCs w:val="32"/>
        </w:rPr>
        <w:t>中办、国办印发的《关于新时代进一步加强科学技术普及工作的意见》明确提出，坚持党的领导，把党的领导贯彻到科普工作全过程，突出科普工作政治属性，强化价值引领，以科普高质量发展更好服务党和国家中心工作。课题要求深入开展调研，对近年来党建与科普工作融合发展的实践经验和方法方式进行研究，总结归纳党建在科普实践中所起到的重要作用，并结合党建业务融合发展的特点、存在问题及新时代的要求，提出建立健全党建与科普融合联动工作机制的相关对策和建议。</w:t>
      </w:r>
    </w:p>
    <w:p>
      <w:pPr>
        <w:pStyle w:val="9"/>
        <w:shd w:val="clear" w:color="auto" w:fill="FFFFFF"/>
        <w:spacing w:beforeAutospacing="0" w:afterAutospacing="0" w:line="560" w:lineRule="exact"/>
        <w:ind w:firstLine="643" w:firstLineChars="200"/>
        <w:jc w:val="both"/>
        <w:rPr>
          <w:rFonts w:eastAsia="仿宋_GB2312"/>
          <w:b/>
          <w:bCs/>
          <w:sz w:val="32"/>
          <w:szCs w:val="32"/>
        </w:rPr>
      </w:pPr>
      <w:r>
        <w:rPr>
          <w:rFonts w:eastAsia="仿宋_GB2312"/>
          <w:b/>
          <w:bCs/>
          <w:sz w:val="32"/>
          <w:szCs w:val="32"/>
        </w:rPr>
        <w:t>11.乡村振兴背景下广西农业科技传播工作面临的机遇与困境研究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在乡村振兴战略持续推进的背景下，农业要振兴，就要插上科技的翅膀；而随着农业科学技术发展日新月异</w:t>
      </w:r>
      <w:r>
        <w:rPr>
          <w:rFonts w:ascii="仿宋_GB2312" w:eastAsia="仿宋_GB2312"/>
          <w:sz w:val="32"/>
          <w:szCs w:val="32"/>
        </w:rPr>
        <w:t>,科技传播</w:t>
      </w:r>
      <w:r>
        <w:rPr>
          <w:rFonts w:hint="eastAsia" w:ascii="仿宋_GB2312" w:eastAsia="仿宋_GB2312"/>
          <w:sz w:val="32"/>
          <w:szCs w:val="32"/>
        </w:rPr>
        <w:t>工作</w:t>
      </w:r>
      <w:r>
        <w:rPr>
          <w:rFonts w:ascii="仿宋_GB2312" w:eastAsia="仿宋_GB2312"/>
          <w:sz w:val="32"/>
          <w:szCs w:val="32"/>
        </w:rPr>
        <w:t>的重要性日益彰显。</w:t>
      </w:r>
      <w:r>
        <w:rPr>
          <w:rFonts w:hint="eastAsia" w:ascii="仿宋_GB2312" w:eastAsia="仿宋_GB2312"/>
          <w:sz w:val="32"/>
          <w:szCs w:val="32"/>
        </w:rPr>
        <w:t>课题要求结合广西实际，对广西农业科技传播现状等进行全面梳理，通过调研了解当前农业科技传播遇到的难点、主要需求、存在不足，明确农业科技传播定位与目标，对如何充分运用农业科技资源、推动农业科技传播工作创新提出具体措施和建议，从而进一步提升农业科技传播质效，服务科技助力乡村振兴工作大局。</w:t>
      </w:r>
    </w:p>
    <w:p>
      <w:pPr>
        <w:pStyle w:val="9"/>
        <w:shd w:val="clear" w:color="auto" w:fill="FFFFFF"/>
        <w:spacing w:beforeAutospacing="0" w:afterAutospacing="0" w:line="560" w:lineRule="exact"/>
        <w:ind w:firstLine="643" w:firstLineChars="200"/>
        <w:jc w:val="both"/>
        <w:rPr>
          <w:rFonts w:eastAsia="仿宋_GB2312"/>
          <w:b/>
          <w:bCs/>
          <w:sz w:val="32"/>
          <w:szCs w:val="32"/>
        </w:rPr>
      </w:pPr>
      <w:r>
        <w:rPr>
          <w:rFonts w:eastAsia="仿宋_GB2312"/>
          <w:b/>
          <w:bCs/>
          <w:sz w:val="32"/>
          <w:szCs w:val="32"/>
        </w:rPr>
        <w:t>12.广西科技传播工作的受众认知与需求研究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作为科技工作不可缺少的组成部分，科技传播过程中传播的知识信息成了连接科技与社会的桥梁。科技传播环节的不畅，将减缓知识创新的产生、知识成果的应用、知识经济的发展等各方面的进步。课题要求以问卷、调查、实地调研等形式，对广西科技传播的受众的群体、特点、需求、喜好等相关数据进行全面梳理，并进行综合分析，提出广西科技传播工作的提升路径与优化措施，加快构建适合广西区情特色的全面、深入、立体的科技传播体系，服务广西科技发展交流和传播，提升传播影响力。</w:t>
      </w:r>
    </w:p>
    <w:p>
      <w:pPr>
        <w:pStyle w:val="9"/>
        <w:shd w:val="clear" w:color="auto" w:fill="FFFFFF"/>
        <w:spacing w:beforeAutospacing="0" w:afterAutospacing="0" w:line="560" w:lineRule="exact"/>
        <w:ind w:firstLine="643" w:firstLineChars="200"/>
        <w:jc w:val="both"/>
        <w:rPr>
          <w:rFonts w:eastAsia="仿宋_GB2312"/>
          <w:b/>
          <w:bCs/>
          <w:sz w:val="32"/>
          <w:szCs w:val="32"/>
        </w:rPr>
      </w:pPr>
      <w:r>
        <w:rPr>
          <w:rFonts w:eastAsia="仿宋_GB2312"/>
          <w:b/>
          <w:bCs/>
          <w:sz w:val="32"/>
          <w:szCs w:val="32"/>
        </w:rPr>
        <w:t>13.提升广西公民科学素质工作面临的机遇与困境研究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科学素质是国民素质的重要组成部分，是培育科技创新的土壤，是社会文明进步的基础。《广西全民科学素质行动规划纲要</w:t>
      </w:r>
      <w:r>
        <w:rPr>
          <w:rFonts w:eastAsia="仿宋_GB2312"/>
          <w:sz w:val="32"/>
          <w:szCs w:val="32"/>
        </w:rPr>
        <w:t>（2021</w:t>
      </w:r>
      <w:r>
        <w:rPr>
          <w:rFonts w:ascii="仿宋_GB2312" w:eastAsia="仿宋_GB2312"/>
          <w:sz w:val="32"/>
          <w:szCs w:val="32"/>
        </w:rPr>
        <w:t>-</w:t>
      </w:r>
      <w:r>
        <w:rPr>
          <w:rFonts w:eastAsia="仿宋_GB2312"/>
          <w:sz w:val="32"/>
          <w:szCs w:val="32"/>
        </w:rPr>
        <w:t>2035年）》提出2025年广西公民具备科学素质的比例达到11.5%。近年来，我区公民科学</w:t>
      </w:r>
      <w:r>
        <w:rPr>
          <w:rFonts w:hint="eastAsia" w:ascii="仿宋_GB2312" w:eastAsia="仿宋_GB2312"/>
          <w:sz w:val="32"/>
          <w:szCs w:val="32"/>
        </w:rPr>
        <w:t>素质工作取得较好成绩，但与国内发达地区相比仍有不小差距。课题要求结合广西科学素质工作的现状、实效、瓶颈等进行综合分析，并准确把握国家对全民科学素质建设的新要求，深入探究当前广西加快提升公民科学素质面临的新机遇以及新挑战，从而提出有效提升公民科学素质的创新路径，推动公民科学素质工作再上新台阶。</w:t>
      </w:r>
    </w:p>
    <w:p>
      <w:pPr>
        <w:pStyle w:val="9"/>
        <w:shd w:val="clear" w:color="auto" w:fill="FFFFFF"/>
        <w:spacing w:beforeAutospacing="0" w:afterAutospacing="0" w:line="560" w:lineRule="exact"/>
        <w:ind w:firstLine="640" w:firstLineChars="200"/>
        <w:jc w:val="both"/>
        <w:rPr>
          <w:rFonts w:ascii="仿宋_GB2312" w:eastAsia="仿宋_GB2312"/>
          <w:kern w:val="2"/>
          <w:sz w:val="32"/>
          <w:szCs w:val="32"/>
        </w:rPr>
      </w:pPr>
      <w:r>
        <w:rPr>
          <w:rFonts w:hint="eastAsia" w:ascii="楷体_GB2312" w:hAnsi="楷体_GB2312" w:eastAsia="楷体_GB2312" w:cs="楷体_GB2312"/>
          <w:sz w:val="32"/>
          <w:szCs w:val="32"/>
          <w:shd w:val="clear" w:color="auto" w:fill="FFFFFF"/>
        </w:rPr>
        <w:t>（二）经费安排。</w:t>
      </w:r>
      <w:r>
        <w:rPr>
          <w:rFonts w:ascii="仿宋_GB2312" w:eastAsia="仿宋_GB2312"/>
          <w:kern w:val="2"/>
          <w:sz w:val="32"/>
          <w:szCs w:val="32"/>
        </w:rPr>
        <w:t>每个</w:t>
      </w:r>
      <w:r>
        <w:rPr>
          <w:rFonts w:hint="eastAsia" w:ascii="仿宋_GB2312" w:eastAsia="仿宋_GB2312"/>
          <w:kern w:val="2"/>
          <w:sz w:val="32"/>
          <w:szCs w:val="32"/>
        </w:rPr>
        <w:t>课题给</w:t>
      </w:r>
      <w:r>
        <w:rPr>
          <w:rFonts w:eastAsia="仿宋_GB2312"/>
          <w:kern w:val="2"/>
          <w:sz w:val="32"/>
          <w:szCs w:val="32"/>
        </w:rPr>
        <w:t>予0.5万元研究经费</w:t>
      </w:r>
      <w:r>
        <w:rPr>
          <w:rFonts w:hint="eastAsia" w:ascii="仿宋_GB2312" w:eastAsia="仿宋_GB2312"/>
          <w:kern w:val="2"/>
          <w:sz w:val="32"/>
          <w:szCs w:val="32"/>
        </w:rPr>
        <w:t>。研究经费实行“包干制”，不足部分承担单位可自行安排配套资金或自筹解决。</w:t>
      </w:r>
    </w:p>
    <w:p>
      <w:pPr>
        <w:pStyle w:val="9"/>
        <w:shd w:val="clear" w:color="auto" w:fill="FFFFFF"/>
        <w:spacing w:beforeAutospacing="0" w:afterAutospacing="0" w:line="560" w:lineRule="exact"/>
        <w:ind w:firstLine="640" w:firstLineChars="200"/>
        <w:jc w:val="both"/>
        <w:rPr>
          <w:rFonts w:eastAsia="仿宋_GB2312"/>
          <w:sz w:val="32"/>
          <w:szCs w:val="32"/>
          <w:shd w:val="clear" w:color="auto" w:fill="FFFFFF"/>
        </w:rPr>
      </w:pPr>
      <w:r>
        <w:rPr>
          <w:rFonts w:hint="eastAsia" w:ascii="楷体_GB2312" w:hAnsi="楷体_GB2312" w:eastAsia="楷体_GB2312" w:cs="楷体_GB2312"/>
          <w:sz w:val="32"/>
          <w:szCs w:val="32"/>
          <w:shd w:val="clear" w:color="auto" w:fill="FFFFFF"/>
        </w:rPr>
        <w:t>（三）结项要求。</w:t>
      </w:r>
      <w:r>
        <w:rPr>
          <w:rFonts w:eastAsia="仿宋_GB2312"/>
          <w:sz w:val="32"/>
          <w:szCs w:val="32"/>
          <w:shd w:val="clear" w:color="auto" w:fill="FFFFFF"/>
        </w:rPr>
        <w:t>2023年11月30日前提交不少于1.5万字的研究报告1份，约3000字的决策咨询专报或理论文章1份。</w:t>
      </w:r>
      <w:r>
        <w:rPr>
          <w:rFonts w:eastAsia="仿宋_GB2312"/>
          <w:kern w:val="2"/>
          <w:sz w:val="32"/>
          <w:szCs w:val="32"/>
        </w:rPr>
        <w:t>要求知网查重全文总文字复制比不超过20%，其中主要研究结论和对策措施的文字复制比不超过10%，课题组发表的与本课题相关且标注为自治区科协专项立项的研究成果（论文、著作等）中的文字不计入文字复制比。</w:t>
      </w:r>
      <w:r>
        <w:rPr>
          <w:rFonts w:eastAsia="仿宋_GB2312"/>
          <w:sz w:val="32"/>
          <w:szCs w:val="32"/>
          <w:shd w:val="clear" w:color="auto" w:fill="FFFFFF"/>
        </w:rPr>
        <w:t>经集中评审，验收合格的，我会给课题组颁发结</w:t>
      </w:r>
      <w:r>
        <w:rPr>
          <w:rFonts w:hint="eastAsia" w:eastAsia="仿宋_GB2312"/>
          <w:sz w:val="32"/>
          <w:szCs w:val="32"/>
          <w:shd w:val="clear" w:color="auto" w:fill="FFFFFF"/>
        </w:rPr>
        <w:t>题</w:t>
      </w:r>
      <w:r>
        <w:rPr>
          <w:rFonts w:eastAsia="仿宋_GB2312"/>
          <w:sz w:val="32"/>
          <w:szCs w:val="32"/>
          <w:shd w:val="clear" w:color="auto" w:fill="FFFFFF"/>
        </w:rPr>
        <w:t>证书。逾期提交视为违约。</w:t>
      </w:r>
    </w:p>
    <w:p>
      <w:pPr>
        <w:pStyle w:val="9"/>
        <w:shd w:val="clear" w:color="auto" w:fill="FFFFFF"/>
        <w:spacing w:beforeAutospacing="0" w:afterAutospacing="0" w:line="560" w:lineRule="exact"/>
        <w:ind w:firstLine="640" w:firstLineChars="200"/>
        <w:jc w:val="both"/>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三、自选类课题基本要求</w:t>
      </w:r>
    </w:p>
    <w:p>
      <w:pPr>
        <w:pStyle w:val="9"/>
        <w:shd w:val="clear" w:color="auto" w:fill="FFFFFF"/>
        <w:spacing w:beforeAutospacing="0" w:afterAutospacing="0" w:line="560" w:lineRule="exact"/>
        <w:ind w:firstLine="640" w:firstLineChars="200"/>
        <w:jc w:val="both"/>
        <w:rPr>
          <w:rFonts w:ascii="仿宋_GB2312" w:hAnsi="黑体" w:eastAsia="仿宋_GB2312"/>
          <w:kern w:val="2"/>
          <w:sz w:val="32"/>
          <w:szCs w:val="32"/>
        </w:rPr>
      </w:pPr>
      <w:r>
        <w:rPr>
          <w:rFonts w:hint="eastAsia" w:ascii="仿宋_GB2312" w:hAnsi="黑体" w:eastAsia="仿宋_GB2312"/>
          <w:kern w:val="2"/>
          <w:sz w:val="32"/>
          <w:szCs w:val="32"/>
        </w:rPr>
        <w:t>自选类课题是指由课题组或课题负责人自拟题目，自筹经费的课题。</w:t>
      </w:r>
    </w:p>
    <w:p>
      <w:pPr>
        <w:pStyle w:val="9"/>
        <w:shd w:val="clear" w:color="auto" w:fill="FFFFFF"/>
        <w:spacing w:beforeAutospacing="0" w:afterAutospacing="0" w:line="560" w:lineRule="exact"/>
        <w:ind w:firstLine="640" w:firstLineChars="200"/>
        <w:jc w:val="both"/>
        <w:rPr>
          <w:rFonts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（一）研究方向</w:t>
      </w:r>
    </w:p>
    <w:p>
      <w:pPr>
        <w:spacing w:line="560" w:lineRule="exact"/>
        <w:ind w:firstLine="640" w:firstLineChars="200"/>
        <w:rPr>
          <w:rFonts w:ascii="仿宋_GB2312" w:eastAsia="仿宋_GB2312"/>
          <w:b/>
          <w:bCs/>
          <w:sz w:val="36"/>
          <w:szCs w:val="36"/>
        </w:rPr>
      </w:pPr>
      <w:r>
        <w:rPr>
          <w:rFonts w:hint="eastAsia" w:ascii="仿宋_GB2312" w:hAnsi="仿宋_GB2312" w:eastAsia="仿宋_GB2312" w:cs="仿宋_GB2312"/>
          <w:sz w:val="32"/>
          <w:szCs w:val="32"/>
          <w:shd w:val="clear" w:color="auto" w:fill="FFFFFF"/>
        </w:rPr>
        <w:t>研究要围绕中心，服务大局，以</w:t>
      </w:r>
      <w:r>
        <w:rPr>
          <w:rFonts w:hint="eastAsia" w:ascii="仿宋_GB2312" w:hAnsi="黑体" w:eastAsia="仿宋_GB2312"/>
          <w:sz w:val="32"/>
          <w:szCs w:val="32"/>
        </w:rPr>
        <w:t>习近平总书记对广西工作的重要指示精神和关于科技创新、科学普及、人才工作的重要论述为指导，以党委、政府工作布局、中心任务、重点工作</w:t>
      </w:r>
      <w:r>
        <w:rPr>
          <w:rFonts w:hint="eastAsia" w:ascii="仿宋_GB2312" w:eastAsia="仿宋_GB2312"/>
          <w:sz w:val="32"/>
          <w:szCs w:val="32"/>
        </w:rPr>
        <w:t>和地方经济社会发展的需要为选题方向，针对</w:t>
      </w:r>
      <w:r>
        <w:rPr>
          <w:rFonts w:hint="eastAsia" w:ascii="仿宋_GB2312" w:hAnsi="黑体" w:eastAsia="仿宋_GB2312"/>
          <w:sz w:val="32"/>
          <w:szCs w:val="32"/>
        </w:rPr>
        <w:t>广西经济社会发展中亟待解决的科技经济融合、科技创新、科学普及、人才培养、科研环境、科技政策等方面的重点、难点和热点问题，有针对性地</w:t>
      </w:r>
      <w:r>
        <w:rPr>
          <w:rFonts w:hint="eastAsia" w:ascii="仿宋_GB2312" w:eastAsia="仿宋_GB2312"/>
          <w:sz w:val="32"/>
          <w:szCs w:val="32"/>
        </w:rPr>
        <w:t>开展课题研究。</w:t>
      </w:r>
      <w:r>
        <w:rPr>
          <w:rFonts w:hint="eastAsia" w:ascii="仿宋_GB2312" w:eastAsia="仿宋_GB2312"/>
          <w:b/>
          <w:bCs/>
          <w:sz w:val="36"/>
          <w:szCs w:val="36"/>
        </w:rPr>
        <w:t>纯技术性研究类课题不在本次范围内。</w:t>
      </w:r>
    </w:p>
    <w:p>
      <w:pPr>
        <w:pStyle w:val="9"/>
        <w:shd w:val="clear" w:color="auto" w:fill="FFFFFF"/>
        <w:spacing w:beforeAutospacing="0" w:afterAutospacing="0" w:line="560" w:lineRule="exact"/>
        <w:ind w:firstLine="640" w:firstLineChars="200"/>
        <w:jc w:val="both"/>
        <w:rPr>
          <w:rFonts w:eastAsia="仿宋_GB2312"/>
          <w:kern w:val="2"/>
          <w:sz w:val="32"/>
          <w:szCs w:val="32"/>
        </w:rPr>
      </w:pPr>
      <w:r>
        <w:rPr>
          <w:rFonts w:hint="eastAsia" w:ascii="楷体_GB2312" w:hAnsi="楷体_GB2312" w:eastAsia="楷体_GB2312" w:cs="楷体_GB2312"/>
          <w:sz w:val="32"/>
          <w:szCs w:val="32"/>
          <w:shd w:val="clear" w:color="auto" w:fill="FFFFFF"/>
        </w:rPr>
        <w:t>（二）经费安排。</w:t>
      </w:r>
      <w:r>
        <w:rPr>
          <w:rFonts w:eastAsia="仿宋_GB2312"/>
          <w:kern w:val="2"/>
          <w:sz w:val="32"/>
          <w:szCs w:val="32"/>
        </w:rPr>
        <w:t>课题研究经费由承担单位或课题组自行安排和筹集。结题获评优秀等次的，或在公开刊物发表与课题研究相符论文的，给予一次性2000元课题研究经费补助。</w:t>
      </w:r>
    </w:p>
    <w:p>
      <w:pPr>
        <w:pStyle w:val="9"/>
        <w:shd w:val="clear" w:color="auto" w:fill="FFFFFF"/>
        <w:spacing w:beforeAutospacing="0" w:afterAutospacing="0" w:line="560" w:lineRule="exact"/>
        <w:ind w:firstLine="640" w:firstLineChars="200"/>
        <w:jc w:val="both"/>
        <w:rPr>
          <w:rFonts w:eastAsia="仿宋_GB2312"/>
          <w:sz w:val="32"/>
          <w:szCs w:val="32"/>
          <w:shd w:val="clear" w:color="auto" w:fill="FFFFFF"/>
        </w:rPr>
      </w:pPr>
      <w:r>
        <w:rPr>
          <w:rFonts w:hint="eastAsia" w:ascii="楷体_GB2312" w:hAnsi="楷体_GB2312" w:eastAsia="楷体_GB2312" w:cs="楷体_GB2312"/>
          <w:sz w:val="32"/>
          <w:szCs w:val="32"/>
          <w:shd w:val="clear" w:color="auto" w:fill="FFFFFF"/>
        </w:rPr>
        <w:t>（三）结项要求。</w:t>
      </w:r>
      <w:r>
        <w:rPr>
          <w:rFonts w:eastAsia="仿宋_GB2312"/>
          <w:sz w:val="32"/>
          <w:szCs w:val="32"/>
          <w:shd w:val="clear" w:color="auto" w:fill="FFFFFF"/>
        </w:rPr>
        <w:t>2023年11月30日前提交1万字符合质量要求的研究报告1份，约3000字的决策咨询专报1份或理论文章1份；</w:t>
      </w:r>
      <w:r>
        <w:rPr>
          <w:rFonts w:eastAsia="仿宋_GB2312"/>
          <w:kern w:val="2"/>
          <w:sz w:val="32"/>
          <w:szCs w:val="32"/>
        </w:rPr>
        <w:t>要求知网查重全文总文字复制比不超过20%，其中主要研究结论和对策措施的文字复制比不超过10%，课题组发表的与本课题相关且标注为自治区科协专项立项的研究成果（论文、著作等）中的文字不计入文字复制比。</w:t>
      </w:r>
      <w:r>
        <w:rPr>
          <w:rFonts w:eastAsia="仿宋_GB2312"/>
          <w:sz w:val="32"/>
          <w:szCs w:val="32"/>
          <w:shd w:val="clear" w:color="auto" w:fill="FFFFFF"/>
        </w:rPr>
        <w:t>经集中评审，验收合格的，我会给课题组颁发结</w:t>
      </w:r>
      <w:r>
        <w:rPr>
          <w:rFonts w:hint="eastAsia" w:eastAsia="仿宋_GB2312"/>
          <w:sz w:val="32"/>
          <w:szCs w:val="32"/>
          <w:shd w:val="clear" w:color="auto" w:fill="FFFFFF"/>
        </w:rPr>
        <w:t>题</w:t>
      </w:r>
      <w:r>
        <w:rPr>
          <w:rFonts w:eastAsia="仿宋_GB2312"/>
          <w:sz w:val="32"/>
          <w:szCs w:val="32"/>
          <w:shd w:val="clear" w:color="auto" w:fill="FFFFFF"/>
        </w:rPr>
        <w:t>证书。逾期提交视为违约。</w:t>
      </w:r>
    </w:p>
    <w:p>
      <w:pPr>
        <w:pStyle w:val="9"/>
        <w:widowControl/>
        <w:shd w:val="clear" w:color="auto" w:fill="FFFFFF"/>
        <w:spacing w:beforeAutospacing="0" w:afterAutospacing="0" w:line="560" w:lineRule="exact"/>
        <w:jc w:val="center"/>
        <w:rPr>
          <w:rFonts w:ascii="方正小标宋简体" w:hAnsi="方正小标宋简体" w:eastAsia="方正小标宋简体" w:cs="方正小标宋简体"/>
          <w:sz w:val="44"/>
          <w:szCs w:val="44"/>
          <w:shd w:val="clear" w:color="auto" w:fill="FFFFFF"/>
        </w:rPr>
      </w:pPr>
    </w:p>
    <w:p>
      <w:pPr>
        <w:pStyle w:val="9"/>
        <w:widowControl/>
        <w:shd w:val="clear" w:color="auto" w:fill="FFFFFF"/>
        <w:spacing w:beforeAutospacing="0" w:afterAutospacing="0" w:line="560" w:lineRule="exact"/>
        <w:jc w:val="center"/>
        <w:rPr>
          <w:rFonts w:ascii="方正小标宋简体" w:hAnsi="方正小标宋简体" w:eastAsia="方正小标宋简体" w:cs="方正小标宋简体"/>
          <w:sz w:val="44"/>
          <w:szCs w:val="44"/>
          <w:shd w:val="clear" w:color="auto" w:fill="FFFFFF"/>
        </w:rPr>
      </w:pPr>
    </w:p>
    <w:p>
      <w:pPr>
        <w:pStyle w:val="9"/>
        <w:widowControl/>
        <w:shd w:val="clear" w:color="auto" w:fill="FFFFFF"/>
        <w:spacing w:beforeAutospacing="0" w:afterAutospacing="0" w:line="560" w:lineRule="exact"/>
        <w:jc w:val="center"/>
        <w:rPr>
          <w:rFonts w:ascii="方正小标宋简体" w:hAnsi="方正小标宋简体" w:eastAsia="方正小标宋简体" w:cs="方正小标宋简体"/>
          <w:sz w:val="44"/>
          <w:szCs w:val="44"/>
          <w:shd w:val="clear" w:color="auto" w:fill="FFFFFF"/>
        </w:rPr>
      </w:pPr>
    </w:p>
    <w:p>
      <w:pPr>
        <w:pStyle w:val="9"/>
        <w:widowControl/>
        <w:shd w:val="clear" w:color="auto" w:fill="FFFFFF"/>
        <w:spacing w:beforeAutospacing="0" w:afterAutospacing="0" w:line="560" w:lineRule="exact"/>
        <w:jc w:val="center"/>
        <w:rPr>
          <w:rFonts w:ascii="方正小标宋简体" w:hAnsi="方正小标宋简体" w:eastAsia="方正小标宋简体" w:cs="方正小标宋简体"/>
          <w:sz w:val="44"/>
          <w:szCs w:val="44"/>
          <w:shd w:val="clear" w:color="auto" w:fill="FFFFFF"/>
        </w:rPr>
      </w:pPr>
    </w:p>
    <w:p>
      <w:pPr>
        <w:pStyle w:val="9"/>
        <w:widowControl/>
        <w:shd w:val="clear" w:color="auto" w:fill="FFFFFF"/>
        <w:spacing w:beforeAutospacing="0" w:afterAutospacing="0" w:line="560" w:lineRule="exact"/>
        <w:jc w:val="center"/>
        <w:rPr>
          <w:rFonts w:ascii="方正小标宋简体" w:hAnsi="方正小标宋简体" w:eastAsia="方正小标宋简体" w:cs="方正小标宋简体"/>
          <w:sz w:val="44"/>
          <w:szCs w:val="44"/>
          <w:shd w:val="clear" w:color="auto" w:fill="FFFFFF"/>
        </w:rPr>
      </w:pPr>
    </w:p>
    <w:p>
      <w:pPr>
        <w:pStyle w:val="9"/>
        <w:widowControl/>
        <w:shd w:val="clear" w:color="auto" w:fill="FFFFFF"/>
        <w:spacing w:beforeAutospacing="0" w:afterAutospacing="0" w:line="560" w:lineRule="exact"/>
        <w:jc w:val="center"/>
        <w:rPr>
          <w:rFonts w:ascii="方正小标宋简体" w:hAnsi="方正小标宋简体" w:eastAsia="方正小标宋简体" w:cs="方正小标宋简体"/>
          <w:sz w:val="44"/>
          <w:szCs w:val="44"/>
          <w:shd w:val="clear" w:color="auto" w:fill="FFFFFF"/>
        </w:rPr>
      </w:pPr>
    </w:p>
    <w:p>
      <w:pPr>
        <w:pStyle w:val="9"/>
        <w:widowControl/>
        <w:shd w:val="clear" w:color="auto" w:fill="FFFFFF"/>
        <w:spacing w:beforeAutospacing="0" w:afterAutospacing="0" w:line="560" w:lineRule="exact"/>
        <w:jc w:val="center"/>
        <w:rPr>
          <w:rFonts w:ascii="方正小标宋简体" w:hAnsi="方正小标宋简体" w:eastAsia="方正小标宋简体" w:cs="方正小标宋简体"/>
          <w:sz w:val="44"/>
          <w:szCs w:val="44"/>
          <w:shd w:val="clear" w:color="auto" w:fill="FFFFFF"/>
        </w:rPr>
      </w:pPr>
    </w:p>
    <w:p>
      <w:pPr>
        <w:pStyle w:val="9"/>
        <w:widowControl/>
        <w:shd w:val="clear" w:color="auto" w:fill="FFFFFF"/>
        <w:spacing w:beforeAutospacing="0" w:afterAutospacing="0" w:line="560" w:lineRule="exact"/>
        <w:jc w:val="center"/>
        <w:rPr>
          <w:rFonts w:ascii="方正小标宋简体" w:hAnsi="方正小标宋简体" w:eastAsia="方正小标宋简体" w:cs="方正小标宋简体"/>
          <w:sz w:val="44"/>
          <w:szCs w:val="44"/>
          <w:shd w:val="clear" w:color="auto" w:fill="FFFFFF"/>
        </w:rPr>
      </w:pPr>
    </w:p>
    <w:p>
      <w:pPr>
        <w:pStyle w:val="9"/>
        <w:widowControl/>
        <w:shd w:val="clear" w:color="auto" w:fill="FFFFFF"/>
        <w:spacing w:beforeAutospacing="0" w:afterAutospacing="0" w:line="560" w:lineRule="exact"/>
        <w:jc w:val="center"/>
        <w:rPr>
          <w:rFonts w:ascii="方正小标宋简体" w:hAnsi="方正小标宋简体" w:eastAsia="方正小标宋简体" w:cs="方正小标宋简体"/>
          <w:sz w:val="44"/>
          <w:szCs w:val="44"/>
          <w:shd w:val="clear" w:color="auto" w:fill="FFFFFF"/>
        </w:rPr>
      </w:pPr>
    </w:p>
    <w:p>
      <w:pPr>
        <w:pStyle w:val="9"/>
        <w:widowControl/>
        <w:shd w:val="clear" w:color="auto" w:fill="FFFFFF"/>
        <w:spacing w:beforeAutospacing="0" w:afterAutospacing="0" w:line="560" w:lineRule="exact"/>
        <w:jc w:val="center"/>
        <w:rPr>
          <w:rFonts w:ascii="方正小标宋简体" w:hAnsi="方正小标宋简体" w:eastAsia="方正小标宋简体" w:cs="方正小标宋简体"/>
          <w:sz w:val="44"/>
          <w:szCs w:val="44"/>
          <w:shd w:val="clear" w:color="auto" w:fill="FFFFFF"/>
        </w:rPr>
      </w:pPr>
    </w:p>
    <w:p>
      <w:pPr>
        <w:pStyle w:val="9"/>
        <w:widowControl/>
        <w:shd w:val="clear" w:color="auto" w:fill="FFFFFF"/>
        <w:spacing w:beforeAutospacing="0" w:afterAutospacing="0" w:line="560" w:lineRule="exact"/>
        <w:jc w:val="center"/>
        <w:rPr>
          <w:rFonts w:ascii="方正小标宋简体" w:hAnsi="方正小标宋简体" w:eastAsia="方正小标宋简体" w:cs="方正小标宋简体"/>
          <w:sz w:val="44"/>
          <w:szCs w:val="44"/>
          <w:shd w:val="clear" w:color="auto" w:fill="FFFFFF"/>
        </w:rPr>
      </w:pPr>
    </w:p>
    <w:p>
      <w:pPr>
        <w:pStyle w:val="9"/>
        <w:widowControl/>
        <w:shd w:val="clear" w:color="auto" w:fill="FFFFFF"/>
        <w:spacing w:beforeAutospacing="0" w:afterAutospacing="0" w:line="560" w:lineRule="exact"/>
        <w:jc w:val="center"/>
        <w:rPr>
          <w:rFonts w:ascii="方正小标宋简体" w:hAnsi="方正小标宋简体" w:eastAsia="方正小标宋简体" w:cs="方正小标宋简体"/>
          <w:sz w:val="44"/>
          <w:szCs w:val="44"/>
          <w:shd w:val="clear" w:color="auto" w:fill="FFFFFF"/>
        </w:rPr>
      </w:pPr>
    </w:p>
    <w:p>
      <w:pPr>
        <w:pStyle w:val="9"/>
        <w:widowControl/>
        <w:shd w:val="clear" w:color="auto" w:fill="FFFFFF"/>
        <w:spacing w:beforeAutospacing="0" w:afterAutospacing="0" w:line="560" w:lineRule="exact"/>
        <w:jc w:val="center"/>
        <w:rPr>
          <w:rFonts w:ascii="方正小标宋简体" w:hAnsi="方正小标宋简体" w:eastAsia="方正小标宋简体" w:cs="方正小标宋简体"/>
          <w:sz w:val="44"/>
          <w:szCs w:val="44"/>
          <w:shd w:val="clear" w:color="auto" w:fill="FFFFFF"/>
        </w:rPr>
      </w:pPr>
    </w:p>
    <w:p>
      <w:pPr>
        <w:pStyle w:val="9"/>
        <w:widowControl/>
        <w:shd w:val="clear" w:color="auto" w:fill="FFFFFF"/>
        <w:spacing w:beforeAutospacing="0" w:afterAutospacing="0" w:line="560" w:lineRule="exact"/>
        <w:jc w:val="center"/>
        <w:rPr>
          <w:rFonts w:ascii="方正小标宋简体" w:hAnsi="方正小标宋简体" w:eastAsia="方正小标宋简体" w:cs="方正小标宋简体"/>
          <w:sz w:val="44"/>
          <w:szCs w:val="44"/>
          <w:shd w:val="clear" w:color="auto" w:fill="FFFFFF"/>
        </w:rPr>
      </w:pPr>
    </w:p>
    <w:p>
      <w:pPr>
        <w:pStyle w:val="9"/>
        <w:widowControl/>
        <w:shd w:val="clear" w:color="auto" w:fill="FFFFFF"/>
        <w:spacing w:beforeAutospacing="0" w:afterAutospacing="0" w:line="560" w:lineRule="exact"/>
        <w:jc w:val="center"/>
        <w:rPr>
          <w:rFonts w:ascii="方正小标宋简体" w:hAnsi="方正小标宋简体" w:eastAsia="方正小标宋简体" w:cs="方正小标宋简体"/>
          <w:sz w:val="44"/>
          <w:szCs w:val="44"/>
          <w:shd w:val="clear" w:color="auto" w:fill="FFFFFF"/>
        </w:rPr>
      </w:pPr>
    </w:p>
    <w:p>
      <w:pPr>
        <w:pStyle w:val="9"/>
        <w:widowControl/>
        <w:shd w:val="clear" w:color="auto" w:fill="FFFFFF"/>
        <w:spacing w:beforeAutospacing="0" w:afterAutospacing="0" w:line="560" w:lineRule="exact"/>
        <w:jc w:val="center"/>
        <w:rPr>
          <w:rFonts w:ascii="方正小标宋简体" w:hAnsi="方正小标宋简体" w:eastAsia="方正小标宋简体" w:cs="方正小标宋简体"/>
          <w:sz w:val="44"/>
          <w:szCs w:val="44"/>
          <w:shd w:val="clear" w:color="auto" w:fill="FFFFFF"/>
        </w:rPr>
      </w:pPr>
    </w:p>
    <w:p>
      <w:pPr>
        <w:pStyle w:val="9"/>
        <w:widowControl/>
        <w:shd w:val="clear" w:color="auto" w:fill="FFFFFF"/>
        <w:spacing w:beforeAutospacing="0" w:afterAutospacing="0" w:line="560" w:lineRule="exact"/>
        <w:rPr>
          <w:rFonts w:eastAsia="黑体"/>
          <w:sz w:val="32"/>
          <w:szCs w:val="32"/>
          <w:shd w:val="clear" w:color="auto" w:fill="FFFFFF"/>
        </w:rPr>
      </w:pPr>
      <w:r>
        <w:rPr>
          <w:rFonts w:eastAsia="黑体"/>
          <w:sz w:val="32"/>
          <w:szCs w:val="32"/>
          <w:shd w:val="clear" w:color="auto" w:fill="FFFFFF"/>
        </w:rPr>
        <w:t>附件2</w:t>
      </w:r>
    </w:p>
    <w:p>
      <w:pPr>
        <w:pStyle w:val="9"/>
        <w:widowControl/>
        <w:shd w:val="clear" w:color="auto" w:fill="FFFFFF"/>
        <w:spacing w:beforeAutospacing="0" w:afterAutospacing="0" w:line="560" w:lineRule="exact"/>
        <w:rPr>
          <w:rFonts w:eastAsia="黑体"/>
          <w:sz w:val="32"/>
          <w:szCs w:val="32"/>
          <w:shd w:val="clear" w:color="auto" w:fill="FFFFFF"/>
        </w:rPr>
      </w:pPr>
    </w:p>
    <w:p>
      <w:pPr>
        <w:pStyle w:val="9"/>
        <w:widowControl/>
        <w:shd w:val="clear" w:color="auto" w:fill="FFFFFF"/>
        <w:spacing w:beforeAutospacing="0" w:afterAutospacing="0" w:line="600" w:lineRule="exact"/>
        <w:jc w:val="center"/>
        <w:rPr>
          <w:rFonts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2023年度广西科技界智库重点课题申报书</w:t>
      </w:r>
    </w:p>
    <w:p>
      <w:pPr>
        <w:pStyle w:val="9"/>
        <w:widowControl/>
        <w:shd w:val="clear" w:color="auto" w:fill="FFFFFF"/>
        <w:spacing w:beforeAutospacing="0" w:afterAutospacing="0" w:line="560" w:lineRule="exact"/>
        <w:jc w:val="both"/>
        <w:rPr>
          <w:rFonts w:ascii="黑体" w:hAnsi="黑体" w:eastAsia="黑体" w:cs="黑体"/>
          <w:sz w:val="32"/>
          <w:szCs w:val="32"/>
          <w:shd w:val="clear" w:color="auto" w:fill="FFFFFF"/>
        </w:rPr>
      </w:pPr>
    </w:p>
    <w:tbl>
      <w:tblPr>
        <w:tblStyle w:val="10"/>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621"/>
        <w:gridCol w:w="863"/>
        <w:gridCol w:w="142"/>
        <w:gridCol w:w="820"/>
        <w:gridCol w:w="925"/>
        <w:gridCol w:w="567"/>
        <w:gridCol w:w="406"/>
        <w:gridCol w:w="240"/>
        <w:gridCol w:w="723"/>
        <w:gridCol w:w="127"/>
        <w:gridCol w:w="1492"/>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6" w:hRule="atLeast"/>
          <w:jc w:val="center"/>
        </w:trPr>
        <w:tc>
          <w:tcPr>
            <w:tcW w:w="2165" w:type="dxa"/>
            <w:gridSpan w:val="4"/>
            <w:vAlign w:val="center"/>
          </w:tcPr>
          <w:p>
            <w:pPr>
              <w:spacing w:line="320" w:lineRule="exact"/>
              <w:jc w:val="center"/>
              <w:rPr>
                <w:sz w:val="24"/>
              </w:rPr>
            </w:pPr>
            <w:r>
              <w:rPr>
                <w:rFonts w:hint="eastAsia"/>
                <w:sz w:val="24"/>
              </w:rPr>
              <w:t>课题名称</w:t>
            </w:r>
          </w:p>
        </w:tc>
        <w:tc>
          <w:tcPr>
            <w:tcW w:w="6575" w:type="dxa"/>
            <w:gridSpan w:val="9"/>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2165" w:type="dxa"/>
            <w:gridSpan w:val="4"/>
            <w:vAlign w:val="center"/>
          </w:tcPr>
          <w:p>
            <w:pPr>
              <w:spacing w:line="320" w:lineRule="exact"/>
              <w:jc w:val="center"/>
              <w:rPr>
                <w:sz w:val="24"/>
              </w:rPr>
            </w:pPr>
            <w:r>
              <w:rPr>
                <w:rFonts w:hint="eastAsia"/>
                <w:sz w:val="24"/>
              </w:rPr>
              <w:t>课题类别</w:t>
            </w:r>
          </w:p>
          <w:p>
            <w:pPr>
              <w:spacing w:line="320" w:lineRule="exact"/>
              <w:jc w:val="center"/>
              <w:rPr>
                <w:sz w:val="24"/>
              </w:rPr>
            </w:pPr>
            <w:r>
              <w:rPr>
                <w:rFonts w:hint="eastAsia"/>
                <w:sz w:val="24"/>
              </w:rPr>
              <w:t>（揭榜、培育或自选类）</w:t>
            </w:r>
          </w:p>
        </w:tc>
        <w:tc>
          <w:tcPr>
            <w:tcW w:w="6575" w:type="dxa"/>
            <w:gridSpan w:val="9"/>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539" w:type="dxa"/>
            <w:vMerge w:val="restart"/>
            <w:vAlign w:val="center"/>
          </w:tcPr>
          <w:p>
            <w:pPr>
              <w:spacing w:line="320" w:lineRule="exact"/>
              <w:jc w:val="center"/>
              <w:rPr>
                <w:sz w:val="24"/>
              </w:rPr>
            </w:pPr>
          </w:p>
          <w:p>
            <w:pPr>
              <w:spacing w:line="320" w:lineRule="exact"/>
              <w:jc w:val="center"/>
              <w:rPr>
                <w:rFonts w:eastAsia="黑体"/>
                <w:sz w:val="24"/>
              </w:rPr>
            </w:pPr>
            <w:r>
              <w:rPr>
                <w:rFonts w:hint="eastAsia" w:eastAsia="黑体"/>
                <w:sz w:val="24"/>
              </w:rPr>
              <w:t>课题</w:t>
            </w:r>
          </w:p>
          <w:p>
            <w:pPr>
              <w:spacing w:line="320" w:lineRule="exact"/>
              <w:jc w:val="center"/>
              <w:rPr>
                <w:rFonts w:eastAsia="黑体"/>
                <w:sz w:val="24"/>
              </w:rPr>
            </w:pPr>
            <w:r>
              <w:rPr>
                <w:rFonts w:hint="eastAsia" w:eastAsia="黑体"/>
                <w:sz w:val="24"/>
              </w:rPr>
              <w:t>申报</w:t>
            </w:r>
          </w:p>
          <w:p>
            <w:pPr>
              <w:spacing w:line="320" w:lineRule="exact"/>
              <w:jc w:val="center"/>
              <w:rPr>
                <w:sz w:val="24"/>
              </w:rPr>
            </w:pPr>
            <w:r>
              <w:rPr>
                <w:rFonts w:hint="eastAsia" w:eastAsia="黑体"/>
                <w:sz w:val="24"/>
              </w:rPr>
              <w:t>单位</w:t>
            </w:r>
          </w:p>
        </w:tc>
        <w:tc>
          <w:tcPr>
            <w:tcW w:w="1626" w:type="dxa"/>
            <w:gridSpan w:val="3"/>
            <w:vAlign w:val="center"/>
          </w:tcPr>
          <w:p>
            <w:pPr>
              <w:spacing w:line="320" w:lineRule="exact"/>
              <w:jc w:val="center"/>
              <w:rPr>
                <w:sz w:val="24"/>
              </w:rPr>
            </w:pPr>
            <w:r>
              <w:rPr>
                <w:rFonts w:hint="eastAsia"/>
                <w:sz w:val="24"/>
              </w:rPr>
              <w:t>名   称</w:t>
            </w:r>
          </w:p>
        </w:tc>
        <w:tc>
          <w:tcPr>
            <w:tcW w:w="6575" w:type="dxa"/>
            <w:gridSpan w:val="9"/>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539" w:type="dxa"/>
            <w:vMerge w:val="continue"/>
            <w:vAlign w:val="center"/>
          </w:tcPr>
          <w:p>
            <w:pPr>
              <w:spacing w:line="320" w:lineRule="exact"/>
              <w:jc w:val="center"/>
              <w:rPr>
                <w:sz w:val="24"/>
              </w:rPr>
            </w:pPr>
          </w:p>
        </w:tc>
        <w:tc>
          <w:tcPr>
            <w:tcW w:w="621" w:type="dxa"/>
            <w:vMerge w:val="restart"/>
            <w:vAlign w:val="center"/>
          </w:tcPr>
          <w:p>
            <w:pPr>
              <w:spacing w:line="320" w:lineRule="exact"/>
              <w:jc w:val="center"/>
              <w:rPr>
                <w:sz w:val="24"/>
              </w:rPr>
            </w:pPr>
            <w:r>
              <w:rPr>
                <w:rFonts w:hint="eastAsia"/>
                <w:sz w:val="24"/>
              </w:rPr>
              <w:t>课题负责人</w:t>
            </w:r>
          </w:p>
        </w:tc>
        <w:tc>
          <w:tcPr>
            <w:tcW w:w="1005" w:type="dxa"/>
            <w:gridSpan w:val="2"/>
            <w:vAlign w:val="center"/>
          </w:tcPr>
          <w:p>
            <w:pPr>
              <w:spacing w:line="320" w:lineRule="exact"/>
              <w:jc w:val="center"/>
              <w:rPr>
                <w:sz w:val="24"/>
              </w:rPr>
            </w:pPr>
            <w:r>
              <w:rPr>
                <w:rFonts w:hint="eastAsia"/>
                <w:sz w:val="24"/>
              </w:rPr>
              <w:t>姓名</w:t>
            </w:r>
          </w:p>
        </w:tc>
        <w:tc>
          <w:tcPr>
            <w:tcW w:w="2312" w:type="dxa"/>
            <w:gridSpan w:val="3"/>
            <w:vAlign w:val="center"/>
          </w:tcPr>
          <w:p>
            <w:pPr>
              <w:spacing w:line="320" w:lineRule="exact"/>
              <w:jc w:val="center"/>
              <w:rPr>
                <w:sz w:val="24"/>
              </w:rPr>
            </w:pPr>
          </w:p>
        </w:tc>
        <w:tc>
          <w:tcPr>
            <w:tcW w:w="406" w:type="dxa"/>
            <w:vMerge w:val="restart"/>
            <w:vAlign w:val="center"/>
          </w:tcPr>
          <w:p>
            <w:pPr>
              <w:spacing w:line="320" w:lineRule="exact"/>
              <w:jc w:val="center"/>
              <w:rPr>
                <w:sz w:val="24"/>
              </w:rPr>
            </w:pPr>
            <w:r>
              <w:rPr>
                <w:rFonts w:hint="eastAsia"/>
                <w:sz w:val="24"/>
              </w:rPr>
              <w:t>课题联系人</w:t>
            </w:r>
          </w:p>
        </w:tc>
        <w:tc>
          <w:tcPr>
            <w:tcW w:w="963" w:type="dxa"/>
            <w:gridSpan w:val="2"/>
            <w:vAlign w:val="center"/>
          </w:tcPr>
          <w:p>
            <w:pPr>
              <w:spacing w:line="320" w:lineRule="exact"/>
              <w:jc w:val="center"/>
              <w:rPr>
                <w:sz w:val="24"/>
              </w:rPr>
            </w:pPr>
            <w:r>
              <w:rPr>
                <w:rFonts w:hint="eastAsia"/>
                <w:sz w:val="24"/>
              </w:rPr>
              <w:t>姓名</w:t>
            </w:r>
          </w:p>
        </w:tc>
        <w:tc>
          <w:tcPr>
            <w:tcW w:w="2894" w:type="dxa"/>
            <w:gridSpan w:val="3"/>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539" w:type="dxa"/>
            <w:vMerge w:val="continue"/>
            <w:vAlign w:val="center"/>
          </w:tcPr>
          <w:p>
            <w:pPr>
              <w:spacing w:line="320" w:lineRule="exact"/>
              <w:jc w:val="center"/>
              <w:rPr>
                <w:sz w:val="24"/>
              </w:rPr>
            </w:pPr>
          </w:p>
        </w:tc>
        <w:tc>
          <w:tcPr>
            <w:tcW w:w="621" w:type="dxa"/>
            <w:vMerge w:val="continue"/>
            <w:vAlign w:val="center"/>
          </w:tcPr>
          <w:p>
            <w:pPr>
              <w:spacing w:line="320" w:lineRule="exact"/>
              <w:jc w:val="center"/>
              <w:rPr>
                <w:sz w:val="24"/>
              </w:rPr>
            </w:pPr>
          </w:p>
        </w:tc>
        <w:tc>
          <w:tcPr>
            <w:tcW w:w="1005" w:type="dxa"/>
            <w:gridSpan w:val="2"/>
            <w:vAlign w:val="center"/>
          </w:tcPr>
          <w:p>
            <w:pPr>
              <w:spacing w:line="320" w:lineRule="exact"/>
              <w:jc w:val="center"/>
              <w:rPr>
                <w:sz w:val="24"/>
              </w:rPr>
            </w:pPr>
            <w:r>
              <w:rPr>
                <w:rFonts w:hint="eastAsia"/>
                <w:sz w:val="24"/>
              </w:rPr>
              <w:t>手机</w:t>
            </w:r>
          </w:p>
        </w:tc>
        <w:tc>
          <w:tcPr>
            <w:tcW w:w="2312" w:type="dxa"/>
            <w:gridSpan w:val="3"/>
            <w:vAlign w:val="center"/>
          </w:tcPr>
          <w:p>
            <w:pPr>
              <w:spacing w:line="320" w:lineRule="exact"/>
              <w:jc w:val="center"/>
              <w:rPr>
                <w:sz w:val="24"/>
              </w:rPr>
            </w:pPr>
          </w:p>
        </w:tc>
        <w:tc>
          <w:tcPr>
            <w:tcW w:w="406" w:type="dxa"/>
            <w:vMerge w:val="continue"/>
            <w:vAlign w:val="center"/>
          </w:tcPr>
          <w:p>
            <w:pPr>
              <w:spacing w:line="320" w:lineRule="exact"/>
              <w:jc w:val="center"/>
              <w:rPr>
                <w:sz w:val="24"/>
              </w:rPr>
            </w:pPr>
          </w:p>
        </w:tc>
        <w:tc>
          <w:tcPr>
            <w:tcW w:w="963" w:type="dxa"/>
            <w:gridSpan w:val="2"/>
            <w:vAlign w:val="center"/>
          </w:tcPr>
          <w:p>
            <w:pPr>
              <w:spacing w:line="320" w:lineRule="exact"/>
              <w:jc w:val="center"/>
              <w:rPr>
                <w:sz w:val="24"/>
              </w:rPr>
            </w:pPr>
            <w:r>
              <w:rPr>
                <w:rFonts w:hint="eastAsia"/>
                <w:sz w:val="24"/>
              </w:rPr>
              <w:t>手机</w:t>
            </w:r>
          </w:p>
        </w:tc>
        <w:tc>
          <w:tcPr>
            <w:tcW w:w="2894" w:type="dxa"/>
            <w:gridSpan w:val="3"/>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539" w:type="dxa"/>
            <w:vMerge w:val="continue"/>
            <w:vAlign w:val="center"/>
          </w:tcPr>
          <w:p>
            <w:pPr>
              <w:spacing w:line="320" w:lineRule="exact"/>
              <w:jc w:val="center"/>
              <w:rPr>
                <w:sz w:val="24"/>
              </w:rPr>
            </w:pPr>
          </w:p>
        </w:tc>
        <w:tc>
          <w:tcPr>
            <w:tcW w:w="621" w:type="dxa"/>
            <w:vMerge w:val="continue"/>
            <w:vAlign w:val="center"/>
          </w:tcPr>
          <w:p>
            <w:pPr>
              <w:spacing w:line="320" w:lineRule="exact"/>
              <w:jc w:val="center"/>
              <w:rPr>
                <w:sz w:val="24"/>
              </w:rPr>
            </w:pPr>
          </w:p>
        </w:tc>
        <w:tc>
          <w:tcPr>
            <w:tcW w:w="1005" w:type="dxa"/>
            <w:gridSpan w:val="2"/>
            <w:vAlign w:val="center"/>
          </w:tcPr>
          <w:p>
            <w:pPr>
              <w:pStyle w:val="4"/>
              <w:spacing w:line="320" w:lineRule="exact"/>
              <w:rPr>
                <w:b w:val="0"/>
                <w:szCs w:val="24"/>
              </w:rPr>
            </w:pPr>
            <w:r>
              <w:rPr>
                <w:rFonts w:hint="eastAsia"/>
                <w:b w:val="0"/>
                <w:szCs w:val="24"/>
              </w:rPr>
              <w:t>电子</w:t>
            </w:r>
          </w:p>
          <w:p>
            <w:pPr>
              <w:pStyle w:val="4"/>
              <w:spacing w:line="320" w:lineRule="exact"/>
              <w:rPr>
                <w:b w:val="0"/>
                <w:szCs w:val="24"/>
              </w:rPr>
            </w:pPr>
            <w:r>
              <w:rPr>
                <w:rFonts w:hint="eastAsia"/>
                <w:b w:val="0"/>
                <w:szCs w:val="24"/>
              </w:rPr>
              <w:t>信箱</w:t>
            </w:r>
          </w:p>
        </w:tc>
        <w:tc>
          <w:tcPr>
            <w:tcW w:w="2312" w:type="dxa"/>
            <w:gridSpan w:val="3"/>
            <w:vAlign w:val="center"/>
          </w:tcPr>
          <w:p>
            <w:pPr>
              <w:spacing w:line="320" w:lineRule="exact"/>
              <w:jc w:val="center"/>
              <w:rPr>
                <w:sz w:val="24"/>
              </w:rPr>
            </w:pPr>
          </w:p>
        </w:tc>
        <w:tc>
          <w:tcPr>
            <w:tcW w:w="406" w:type="dxa"/>
            <w:vMerge w:val="continue"/>
            <w:vAlign w:val="center"/>
          </w:tcPr>
          <w:p>
            <w:pPr>
              <w:spacing w:line="320" w:lineRule="exact"/>
              <w:jc w:val="center"/>
              <w:rPr>
                <w:sz w:val="24"/>
              </w:rPr>
            </w:pPr>
          </w:p>
        </w:tc>
        <w:tc>
          <w:tcPr>
            <w:tcW w:w="963" w:type="dxa"/>
            <w:gridSpan w:val="2"/>
            <w:vAlign w:val="center"/>
          </w:tcPr>
          <w:p>
            <w:pPr>
              <w:pStyle w:val="4"/>
              <w:spacing w:line="320" w:lineRule="exact"/>
              <w:rPr>
                <w:b w:val="0"/>
                <w:szCs w:val="24"/>
              </w:rPr>
            </w:pPr>
            <w:r>
              <w:rPr>
                <w:rFonts w:hint="eastAsia"/>
                <w:b w:val="0"/>
                <w:szCs w:val="24"/>
              </w:rPr>
              <w:t>电子</w:t>
            </w:r>
          </w:p>
          <w:p>
            <w:pPr>
              <w:pStyle w:val="4"/>
              <w:spacing w:line="320" w:lineRule="exact"/>
              <w:rPr>
                <w:b w:val="0"/>
                <w:szCs w:val="24"/>
              </w:rPr>
            </w:pPr>
            <w:r>
              <w:rPr>
                <w:rFonts w:hint="eastAsia"/>
                <w:b w:val="0"/>
                <w:szCs w:val="24"/>
              </w:rPr>
              <w:t>信箱</w:t>
            </w:r>
          </w:p>
        </w:tc>
        <w:tc>
          <w:tcPr>
            <w:tcW w:w="2894" w:type="dxa"/>
            <w:gridSpan w:val="3"/>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539" w:type="dxa"/>
            <w:vMerge w:val="continue"/>
            <w:vAlign w:val="center"/>
          </w:tcPr>
          <w:p>
            <w:pPr>
              <w:spacing w:line="320" w:lineRule="exact"/>
              <w:jc w:val="center"/>
              <w:rPr>
                <w:sz w:val="24"/>
              </w:rPr>
            </w:pPr>
          </w:p>
        </w:tc>
        <w:tc>
          <w:tcPr>
            <w:tcW w:w="1626" w:type="dxa"/>
            <w:gridSpan w:val="3"/>
            <w:vAlign w:val="center"/>
          </w:tcPr>
          <w:p>
            <w:pPr>
              <w:spacing w:line="320" w:lineRule="exact"/>
              <w:jc w:val="center"/>
              <w:rPr>
                <w:sz w:val="24"/>
              </w:rPr>
            </w:pPr>
            <w:r>
              <w:rPr>
                <w:rFonts w:hint="eastAsia"/>
                <w:sz w:val="24"/>
              </w:rPr>
              <w:t>通讯地址</w:t>
            </w:r>
          </w:p>
        </w:tc>
        <w:tc>
          <w:tcPr>
            <w:tcW w:w="6575" w:type="dxa"/>
            <w:gridSpan w:val="9"/>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539" w:type="dxa"/>
            <w:vMerge w:val="continue"/>
            <w:vAlign w:val="center"/>
          </w:tcPr>
          <w:p>
            <w:pPr>
              <w:spacing w:line="320" w:lineRule="exact"/>
              <w:jc w:val="center"/>
              <w:rPr>
                <w:sz w:val="24"/>
              </w:rPr>
            </w:pPr>
          </w:p>
        </w:tc>
        <w:tc>
          <w:tcPr>
            <w:tcW w:w="1626" w:type="dxa"/>
            <w:gridSpan w:val="3"/>
            <w:vAlign w:val="center"/>
          </w:tcPr>
          <w:p>
            <w:pPr>
              <w:spacing w:line="320" w:lineRule="exact"/>
              <w:jc w:val="center"/>
              <w:rPr>
                <w:sz w:val="24"/>
              </w:rPr>
            </w:pPr>
            <w:r>
              <w:rPr>
                <w:rFonts w:hint="eastAsia"/>
                <w:sz w:val="24"/>
              </w:rPr>
              <w:t>单位电话</w:t>
            </w:r>
          </w:p>
        </w:tc>
        <w:tc>
          <w:tcPr>
            <w:tcW w:w="6575" w:type="dxa"/>
            <w:gridSpan w:val="9"/>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jc w:val="center"/>
        </w:trPr>
        <w:tc>
          <w:tcPr>
            <w:tcW w:w="8740" w:type="dxa"/>
            <w:gridSpan w:val="13"/>
            <w:vAlign w:val="center"/>
          </w:tcPr>
          <w:p>
            <w:pPr>
              <w:spacing w:line="320" w:lineRule="exact"/>
              <w:jc w:val="center"/>
              <w:rPr>
                <w:sz w:val="24"/>
              </w:rPr>
            </w:pPr>
            <w:r>
              <w:rPr>
                <w:rFonts w:hint="eastAsia"/>
                <w:sz w:val="24"/>
              </w:rPr>
              <w:t>课题负责人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7" w:hRule="atLeast"/>
          <w:jc w:val="center"/>
        </w:trPr>
        <w:tc>
          <w:tcPr>
            <w:tcW w:w="1160" w:type="dxa"/>
            <w:gridSpan w:val="2"/>
            <w:vAlign w:val="center"/>
          </w:tcPr>
          <w:p>
            <w:pPr>
              <w:spacing w:line="320" w:lineRule="exact"/>
              <w:jc w:val="center"/>
              <w:rPr>
                <w:sz w:val="24"/>
              </w:rPr>
            </w:pPr>
            <w:r>
              <w:rPr>
                <w:rFonts w:hint="eastAsia"/>
                <w:sz w:val="24"/>
              </w:rPr>
              <w:t>姓名</w:t>
            </w:r>
          </w:p>
        </w:tc>
        <w:tc>
          <w:tcPr>
            <w:tcW w:w="863" w:type="dxa"/>
            <w:vAlign w:val="center"/>
          </w:tcPr>
          <w:p>
            <w:pPr>
              <w:spacing w:line="320" w:lineRule="exact"/>
              <w:jc w:val="center"/>
              <w:rPr>
                <w:sz w:val="24"/>
              </w:rPr>
            </w:pPr>
            <w:r>
              <w:rPr>
                <w:rFonts w:hint="eastAsia"/>
                <w:sz w:val="24"/>
              </w:rPr>
              <w:t>性别</w:t>
            </w:r>
          </w:p>
        </w:tc>
        <w:tc>
          <w:tcPr>
            <w:tcW w:w="962" w:type="dxa"/>
            <w:gridSpan w:val="2"/>
            <w:vAlign w:val="center"/>
          </w:tcPr>
          <w:p>
            <w:pPr>
              <w:spacing w:line="320" w:lineRule="exact"/>
              <w:jc w:val="center"/>
              <w:rPr>
                <w:sz w:val="24"/>
              </w:rPr>
            </w:pPr>
            <w:r>
              <w:rPr>
                <w:rFonts w:hint="eastAsia"/>
                <w:sz w:val="24"/>
              </w:rPr>
              <w:t>出生</w:t>
            </w:r>
          </w:p>
          <w:p>
            <w:pPr>
              <w:spacing w:line="320" w:lineRule="exact"/>
              <w:jc w:val="center"/>
              <w:rPr>
                <w:sz w:val="24"/>
              </w:rPr>
            </w:pPr>
            <w:r>
              <w:rPr>
                <w:rFonts w:hint="eastAsia"/>
                <w:sz w:val="24"/>
              </w:rPr>
              <w:t>年月</w:t>
            </w:r>
          </w:p>
        </w:tc>
        <w:tc>
          <w:tcPr>
            <w:tcW w:w="925" w:type="dxa"/>
            <w:vAlign w:val="center"/>
          </w:tcPr>
          <w:p>
            <w:pPr>
              <w:spacing w:line="320" w:lineRule="exact"/>
              <w:jc w:val="center"/>
              <w:rPr>
                <w:sz w:val="24"/>
              </w:rPr>
            </w:pPr>
            <w:r>
              <w:rPr>
                <w:rFonts w:hint="eastAsia"/>
                <w:sz w:val="24"/>
              </w:rPr>
              <w:t>职务职称</w:t>
            </w:r>
          </w:p>
        </w:tc>
        <w:tc>
          <w:tcPr>
            <w:tcW w:w="1213" w:type="dxa"/>
            <w:gridSpan w:val="3"/>
            <w:vAlign w:val="center"/>
          </w:tcPr>
          <w:p>
            <w:pPr>
              <w:spacing w:line="320" w:lineRule="exact"/>
              <w:jc w:val="center"/>
              <w:rPr>
                <w:sz w:val="24"/>
              </w:rPr>
            </w:pPr>
            <w:r>
              <w:rPr>
                <w:rFonts w:hint="eastAsia"/>
                <w:sz w:val="24"/>
              </w:rPr>
              <w:t>学历</w:t>
            </w:r>
          </w:p>
          <w:p>
            <w:pPr>
              <w:spacing w:line="320" w:lineRule="exact"/>
              <w:jc w:val="center"/>
              <w:rPr>
                <w:sz w:val="24"/>
              </w:rPr>
            </w:pPr>
            <w:r>
              <w:rPr>
                <w:rFonts w:hint="eastAsia"/>
                <w:sz w:val="24"/>
              </w:rPr>
              <w:t>学位</w:t>
            </w:r>
          </w:p>
        </w:tc>
        <w:tc>
          <w:tcPr>
            <w:tcW w:w="850" w:type="dxa"/>
            <w:gridSpan w:val="2"/>
            <w:vAlign w:val="center"/>
          </w:tcPr>
          <w:p>
            <w:pPr>
              <w:spacing w:line="320" w:lineRule="exact"/>
              <w:jc w:val="center"/>
              <w:rPr>
                <w:sz w:val="24"/>
              </w:rPr>
            </w:pPr>
            <w:r>
              <w:rPr>
                <w:rFonts w:hint="eastAsia"/>
                <w:sz w:val="24"/>
              </w:rPr>
              <w:t>从事专业</w:t>
            </w:r>
          </w:p>
        </w:tc>
        <w:tc>
          <w:tcPr>
            <w:tcW w:w="1492" w:type="dxa"/>
            <w:vAlign w:val="center"/>
          </w:tcPr>
          <w:p>
            <w:pPr>
              <w:spacing w:line="320" w:lineRule="exact"/>
              <w:jc w:val="center"/>
              <w:rPr>
                <w:sz w:val="24"/>
              </w:rPr>
            </w:pPr>
            <w:r>
              <w:rPr>
                <w:rFonts w:hint="eastAsia"/>
                <w:sz w:val="24"/>
              </w:rPr>
              <w:t>所在单位</w:t>
            </w:r>
          </w:p>
        </w:tc>
        <w:tc>
          <w:tcPr>
            <w:tcW w:w="1275" w:type="dxa"/>
            <w:vAlign w:val="center"/>
          </w:tcPr>
          <w:p>
            <w:pPr>
              <w:spacing w:line="320" w:lineRule="exact"/>
              <w:jc w:val="center"/>
              <w:rPr>
                <w:sz w:val="24"/>
              </w:rPr>
            </w:pPr>
            <w:r>
              <w:rPr>
                <w:rFonts w:hint="eastAsia"/>
                <w:sz w:val="24"/>
              </w:rPr>
              <w:t>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jc w:val="center"/>
        </w:trPr>
        <w:tc>
          <w:tcPr>
            <w:tcW w:w="1160" w:type="dxa"/>
            <w:gridSpan w:val="2"/>
          </w:tcPr>
          <w:p>
            <w:pPr>
              <w:spacing w:line="320" w:lineRule="exact"/>
              <w:rPr>
                <w:sz w:val="24"/>
              </w:rPr>
            </w:pPr>
          </w:p>
        </w:tc>
        <w:tc>
          <w:tcPr>
            <w:tcW w:w="863" w:type="dxa"/>
          </w:tcPr>
          <w:p>
            <w:pPr>
              <w:spacing w:line="320" w:lineRule="exact"/>
              <w:rPr>
                <w:sz w:val="24"/>
              </w:rPr>
            </w:pPr>
          </w:p>
        </w:tc>
        <w:tc>
          <w:tcPr>
            <w:tcW w:w="962" w:type="dxa"/>
            <w:gridSpan w:val="2"/>
          </w:tcPr>
          <w:p>
            <w:pPr>
              <w:spacing w:line="320" w:lineRule="exact"/>
              <w:rPr>
                <w:sz w:val="24"/>
              </w:rPr>
            </w:pPr>
          </w:p>
        </w:tc>
        <w:tc>
          <w:tcPr>
            <w:tcW w:w="925" w:type="dxa"/>
          </w:tcPr>
          <w:p>
            <w:pPr>
              <w:spacing w:line="320" w:lineRule="exact"/>
              <w:rPr>
                <w:sz w:val="24"/>
              </w:rPr>
            </w:pPr>
          </w:p>
        </w:tc>
        <w:tc>
          <w:tcPr>
            <w:tcW w:w="1213" w:type="dxa"/>
            <w:gridSpan w:val="3"/>
          </w:tcPr>
          <w:p>
            <w:pPr>
              <w:spacing w:line="320" w:lineRule="exact"/>
              <w:rPr>
                <w:sz w:val="24"/>
              </w:rPr>
            </w:pPr>
          </w:p>
        </w:tc>
        <w:tc>
          <w:tcPr>
            <w:tcW w:w="850" w:type="dxa"/>
            <w:gridSpan w:val="2"/>
          </w:tcPr>
          <w:p>
            <w:pPr>
              <w:spacing w:line="320" w:lineRule="exact"/>
              <w:rPr>
                <w:sz w:val="24"/>
              </w:rPr>
            </w:pPr>
          </w:p>
        </w:tc>
        <w:tc>
          <w:tcPr>
            <w:tcW w:w="1492" w:type="dxa"/>
          </w:tcPr>
          <w:p>
            <w:pPr>
              <w:spacing w:line="320" w:lineRule="exact"/>
              <w:rPr>
                <w:sz w:val="24"/>
              </w:rPr>
            </w:pPr>
          </w:p>
        </w:tc>
        <w:tc>
          <w:tcPr>
            <w:tcW w:w="1275" w:type="dxa"/>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jc w:val="center"/>
        </w:trPr>
        <w:tc>
          <w:tcPr>
            <w:tcW w:w="8740" w:type="dxa"/>
            <w:gridSpan w:val="13"/>
          </w:tcPr>
          <w:p>
            <w:pPr>
              <w:spacing w:line="320" w:lineRule="exact"/>
              <w:jc w:val="center"/>
              <w:rPr>
                <w:sz w:val="24"/>
              </w:rPr>
            </w:pPr>
            <w:r>
              <w:rPr>
                <w:rFonts w:hint="eastAsia"/>
                <w:sz w:val="24"/>
              </w:rPr>
              <w:t>课题主要研究人员</w:t>
            </w:r>
          </w:p>
          <w:p>
            <w:pPr>
              <w:spacing w:line="320" w:lineRule="exact"/>
              <w:jc w:val="center"/>
              <w:rPr>
                <w:sz w:val="24"/>
              </w:rPr>
            </w:pPr>
            <w:r>
              <w:rPr>
                <w:rFonts w:hint="eastAsia"/>
                <w:sz w:val="24"/>
              </w:rPr>
              <w:t>（限5人以内，不包括课题负责人）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jc w:val="center"/>
        </w:trPr>
        <w:tc>
          <w:tcPr>
            <w:tcW w:w="1160" w:type="dxa"/>
            <w:gridSpan w:val="2"/>
            <w:vAlign w:val="center"/>
          </w:tcPr>
          <w:p>
            <w:pPr>
              <w:spacing w:line="320" w:lineRule="exact"/>
              <w:jc w:val="center"/>
              <w:rPr>
                <w:sz w:val="24"/>
              </w:rPr>
            </w:pPr>
            <w:r>
              <w:rPr>
                <w:rFonts w:hint="eastAsia"/>
                <w:sz w:val="24"/>
              </w:rPr>
              <w:t>姓名</w:t>
            </w:r>
          </w:p>
        </w:tc>
        <w:tc>
          <w:tcPr>
            <w:tcW w:w="863" w:type="dxa"/>
            <w:vAlign w:val="center"/>
          </w:tcPr>
          <w:p>
            <w:pPr>
              <w:spacing w:line="320" w:lineRule="exact"/>
              <w:jc w:val="center"/>
              <w:rPr>
                <w:sz w:val="24"/>
              </w:rPr>
            </w:pPr>
            <w:r>
              <w:rPr>
                <w:rFonts w:hint="eastAsia"/>
                <w:sz w:val="24"/>
              </w:rPr>
              <w:t>性别</w:t>
            </w:r>
          </w:p>
        </w:tc>
        <w:tc>
          <w:tcPr>
            <w:tcW w:w="962" w:type="dxa"/>
            <w:gridSpan w:val="2"/>
            <w:vAlign w:val="center"/>
          </w:tcPr>
          <w:p>
            <w:pPr>
              <w:spacing w:line="320" w:lineRule="exact"/>
              <w:jc w:val="center"/>
              <w:rPr>
                <w:sz w:val="24"/>
              </w:rPr>
            </w:pPr>
            <w:r>
              <w:rPr>
                <w:rFonts w:hint="eastAsia"/>
                <w:sz w:val="24"/>
              </w:rPr>
              <w:t>出生</w:t>
            </w:r>
          </w:p>
          <w:p>
            <w:pPr>
              <w:spacing w:line="320" w:lineRule="exact"/>
              <w:jc w:val="center"/>
              <w:rPr>
                <w:sz w:val="24"/>
              </w:rPr>
            </w:pPr>
            <w:r>
              <w:rPr>
                <w:rFonts w:hint="eastAsia"/>
                <w:sz w:val="24"/>
              </w:rPr>
              <w:t>年月</w:t>
            </w:r>
          </w:p>
        </w:tc>
        <w:tc>
          <w:tcPr>
            <w:tcW w:w="925" w:type="dxa"/>
            <w:vAlign w:val="center"/>
          </w:tcPr>
          <w:p>
            <w:pPr>
              <w:spacing w:line="320" w:lineRule="exact"/>
              <w:jc w:val="center"/>
              <w:rPr>
                <w:sz w:val="24"/>
              </w:rPr>
            </w:pPr>
            <w:r>
              <w:rPr>
                <w:rFonts w:hint="eastAsia"/>
                <w:sz w:val="24"/>
              </w:rPr>
              <w:t>职务职称</w:t>
            </w:r>
          </w:p>
        </w:tc>
        <w:tc>
          <w:tcPr>
            <w:tcW w:w="1213" w:type="dxa"/>
            <w:gridSpan w:val="3"/>
            <w:vAlign w:val="center"/>
          </w:tcPr>
          <w:p>
            <w:pPr>
              <w:spacing w:line="320" w:lineRule="exact"/>
              <w:jc w:val="center"/>
              <w:rPr>
                <w:sz w:val="24"/>
              </w:rPr>
            </w:pPr>
            <w:r>
              <w:rPr>
                <w:rFonts w:hint="eastAsia"/>
                <w:sz w:val="24"/>
              </w:rPr>
              <w:t>学历</w:t>
            </w:r>
          </w:p>
          <w:p>
            <w:pPr>
              <w:spacing w:line="320" w:lineRule="exact"/>
              <w:jc w:val="center"/>
              <w:rPr>
                <w:sz w:val="24"/>
              </w:rPr>
            </w:pPr>
            <w:r>
              <w:rPr>
                <w:rFonts w:hint="eastAsia"/>
                <w:sz w:val="24"/>
              </w:rPr>
              <w:t>学位</w:t>
            </w:r>
          </w:p>
        </w:tc>
        <w:tc>
          <w:tcPr>
            <w:tcW w:w="850" w:type="dxa"/>
            <w:gridSpan w:val="2"/>
            <w:vAlign w:val="center"/>
          </w:tcPr>
          <w:p>
            <w:pPr>
              <w:spacing w:line="320" w:lineRule="exact"/>
              <w:jc w:val="center"/>
              <w:rPr>
                <w:sz w:val="24"/>
              </w:rPr>
            </w:pPr>
            <w:r>
              <w:rPr>
                <w:rFonts w:hint="eastAsia"/>
                <w:sz w:val="24"/>
              </w:rPr>
              <w:t>从事专业</w:t>
            </w:r>
          </w:p>
        </w:tc>
        <w:tc>
          <w:tcPr>
            <w:tcW w:w="1492" w:type="dxa"/>
            <w:vAlign w:val="center"/>
          </w:tcPr>
          <w:p>
            <w:pPr>
              <w:spacing w:line="320" w:lineRule="exact"/>
              <w:jc w:val="center"/>
              <w:rPr>
                <w:sz w:val="24"/>
              </w:rPr>
            </w:pPr>
            <w:r>
              <w:rPr>
                <w:rFonts w:hint="eastAsia"/>
                <w:sz w:val="24"/>
              </w:rPr>
              <w:t>所在单位</w:t>
            </w:r>
          </w:p>
        </w:tc>
        <w:tc>
          <w:tcPr>
            <w:tcW w:w="1275" w:type="dxa"/>
            <w:vAlign w:val="center"/>
          </w:tcPr>
          <w:p>
            <w:pPr>
              <w:spacing w:line="320" w:lineRule="exact"/>
              <w:jc w:val="center"/>
              <w:rPr>
                <w:sz w:val="24"/>
              </w:rPr>
            </w:pPr>
            <w:r>
              <w:rPr>
                <w:rFonts w:hint="eastAsia"/>
                <w:sz w:val="24"/>
              </w:rPr>
              <w:t>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2" w:hRule="atLeast"/>
          <w:jc w:val="center"/>
        </w:trPr>
        <w:tc>
          <w:tcPr>
            <w:tcW w:w="1160" w:type="dxa"/>
            <w:gridSpan w:val="2"/>
            <w:vAlign w:val="center"/>
          </w:tcPr>
          <w:p>
            <w:pPr>
              <w:spacing w:line="320" w:lineRule="exact"/>
              <w:jc w:val="center"/>
              <w:rPr>
                <w:sz w:val="24"/>
              </w:rPr>
            </w:pPr>
          </w:p>
        </w:tc>
        <w:tc>
          <w:tcPr>
            <w:tcW w:w="863" w:type="dxa"/>
            <w:vAlign w:val="center"/>
          </w:tcPr>
          <w:p>
            <w:pPr>
              <w:spacing w:line="320" w:lineRule="exact"/>
              <w:jc w:val="center"/>
              <w:rPr>
                <w:sz w:val="24"/>
              </w:rPr>
            </w:pPr>
          </w:p>
        </w:tc>
        <w:tc>
          <w:tcPr>
            <w:tcW w:w="962" w:type="dxa"/>
            <w:gridSpan w:val="2"/>
            <w:vAlign w:val="center"/>
          </w:tcPr>
          <w:p>
            <w:pPr>
              <w:spacing w:line="320" w:lineRule="exact"/>
              <w:jc w:val="center"/>
              <w:rPr>
                <w:sz w:val="24"/>
              </w:rPr>
            </w:pPr>
          </w:p>
        </w:tc>
        <w:tc>
          <w:tcPr>
            <w:tcW w:w="925" w:type="dxa"/>
            <w:vAlign w:val="center"/>
          </w:tcPr>
          <w:p>
            <w:pPr>
              <w:spacing w:line="320" w:lineRule="exact"/>
              <w:jc w:val="center"/>
              <w:rPr>
                <w:sz w:val="24"/>
              </w:rPr>
            </w:pPr>
          </w:p>
        </w:tc>
        <w:tc>
          <w:tcPr>
            <w:tcW w:w="1213" w:type="dxa"/>
            <w:gridSpan w:val="3"/>
            <w:vAlign w:val="center"/>
          </w:tcPr>
          <w:p>
            <w:pPr>
              <w:spacing w:line="320" w:lineRule="exact"/>
              <w:jc w:val="center"/>
              <w:rPr>
                <w:sz w:val="24"/>
              </w:rPr>
            </w:pPr>
          </w:p>
        </w:tc>
        <w:tc>
          <w:tcPr>
            <w:tcW w:w="850" w:type="dxa"/>
            <w:gridSpan w:val="2"/>
            <w:vAlign w:val="center"/>
          </w:tcPr>
          <w:p>
            <w:pPr>
              <w:spacing w:line="320" w:lineRule="exact"/>
              <w:jc w:val="center"/>
              <w:rPr>
                <w:sz w:val="24"/>
              </w:rPr>
            </w:pPr>
          </w:p>
        </w:tc>
        <w:tc>
          <w:tcPr>
            <w:tcW w:w="1492" w:type="dxa"/>
            <w:vAlign w:val="center"/>
          </w:tcPr>
          <w:p>
            <w:pPr>
              <w:spacing w:line="320" w:lineRule="exact"/>
              <w:jc w:val="center"/>
              <w:rPr>
                <w:sz w:val="24"/>
              </w:rPr>
            </w:pPr>
          </w:p>
        </w:tc>
        <w:tc>
          <w:tcPr>
            <w:tcW w:w="1275"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2" w:hRule="atLeast"/>
          <w:jc w:val="center"/>
        </w:trPr>
        <w:tc>
          <w:tcPr>
            <w:tcW w:w="1160" w:type="dxa"/>
            <w:gridSpan w:val="2"/>
            <w:vAlign w:val="center"/>
          </w:tcPr>
          <w:p>
            <w:pPr>
              <w:spacing w:line="320" w:lineRule="exact"/>
              <w:jc w:val="center"/>
              <w:rPr>
                <w:sz w:val="24"/>
              </w:rPr>
            </w:pPr>
          </w:p>
        </w:tc>
        <w:tc>
          <w:tcPr>
            <w:tcW w:w="863" w:type="dxa"/>
            <w:vAlign w:val="center"/>
          </w:tcPr>
          <w:p>
            <w:pPr>
              <w:spacing w:line="320" w:lineRule="exact"/>
              <w:jc w:val="center"/>
              <w:rPr>
                <w:sz w:val="24"/>
              </w:rPr>
            </w:pPr>
          </w:p>
        </w:tc>
        <w:tc>
          <w:tcPr>
            <w:tcW w:w="962" w:type="dxa"/>
            <w:gridSpan w:val="2"/>
            <w:vAlign w:val="center"/>
          </w:tcPr>
          <w:p>
            <w:pPr>
              <w:spacing w:line="320" w:lineRule="exact"/>
              <w:jc w:val="center"/>
              <w:rPr>
                <w:sz w:val="24"/>
              </w:rPr>
            </w:pPr>
          </w:p>
        </w:tc>
        <w:tc>
          <w:tcPr>
            <w:tcW w:w="925" w:type="dxa"/>
            <w:vAlign w:val="center"/>
          </w:tcPr>
          <w:p>
            <w:pPr>
              <w:spacing w:line="320" w:lineRule="exact"/>
              <w:jc w:val="center"/>
              <w:rPr>
                <w:sz w:val="24"/>
              </w:rPr>
            </w:pPr>
          </w:p>
        </w:tc>
        <w:tc>
          <w:tcPr>
            <w:tcW w:w="1213" w:type="dxa"/>
            <w:gridSpan w:val="3"/>
            <w:vAlign w:val="center"/>
          </w:tcPr>
          <w:p>
            <w:pPr>
              <w:spacing w:line="320" w:lineRule="exact"/>
              <w:jc w:val="center"/>
              <w:rPr>
                <w:sz w:val="24"/>
              </w:rPr>
            </w:pPr>
          </w:p>
        </w:tc>
        <w:tc>
          <w:tcPr>
            <w:tcW w:w="850" w:type="dxa"/>
            <w:gridSpan w:val="2"/>
            <w:vAlign w:val="center"/>
          </w:tcPr>
          <w:p>
            <w:pPr>
              <w:spacing w:line="320" w:lineRule="exact"/>
              <w:jc w:val="center"/>
              <w:rPr>
                <w:sz w:val="24"/>
              </w:rPr>
            </w:pPr>
          </w:p>
        </w:tc>
        <w:tc>
          <w:tcPr>
            <w:tcW w:w="1492" w:type="dxa"/>
            <w:vAlign w:val="center"/>
          </w:tcPr>
          <w:p>
            <w:pPr>
              <w:spacing w:line="320" w:lineRule="exact"/>
              <w:jc w:val="center"/>
              <w:rPr>
                <w:sz w:val="24"/>
              </w:rPr>
            </w:pPr>
          </w:p>
        </w:tc>
        <w:tc>
          <w:tcPr>
            <w:tcW w:w="1275"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2" w:hRule="atLeast"/>
          <w:jc w:val="center"/>
        </w:trPr>
        <w:tc>
          <w:tcPr>
            <w:tcW w:w="1160" w:type="dxa"/>
            <w:gridSpan w:val="2"/>
            <w:vAlign w:val="center"/>
          </w:tcPr>
          <w:p>
            <w:pPr>
              <w:spacing w:line="320" w:lineRule="exact"/>
              <w:jc w:val="center"/>
              <w:rPr>
                <w:sz w:val="24"/>
              </w:rPr>
            </w:pPr>
          </w:p>
        </w:tc>
        <w:tc>
          <w:tcPr>
            <w:tcW w:w="863" w:type="dxa"/>
            <w:vAlign w:val="center"/>
          </w:tcPr>
          <w:p>
            <w:pPr>
              <w:spacing w:line="320" w:lineRule="exact"/>
              <w:jc w:val="center"/>
              <w:rPr>
                <w:sz w:val="24"/>
              </w:rPr>
            </w:pPr>
          </w:p>
        </w:tc>
        <w:tc>
          <w:tcPr>
            <w:tcW w:w="962" w:type="dxa"/>
            <w:gridSpan w:val="2"/>
            <w:vAlign w:val="center"/>
          </w:tcPr>
          <w:p>
            <w:pPr>
              <w:spacing w:line="320" w:lineRule="exact"/>
              <w:jc w:val="center"/>
              <w:rPr>
                <w:sz w:val="24"/>
              </w:rPr>
            </w:pPr>
          </w:p>
        </w:tc>
        <w:tc>
          <w:tcPr>
            <w:tcW w:w="925" w:type="dxa"/>
            <w:vAlign w:val="center"/>
          </w:tcPr>
          <w:p>
            <w:pPr>
              <w:spacing w:line="320" w:lineRule="exact"/>
              <w:jc w:val="center"/>
              <w:rPr>
                <w:sz w:val="24"/>
              </w:rPr>
            </w:pPr>
          </w:p>
        </w:tc>
        <w:tc>
          <w:tcPr>
            <w:tcW w:w="1213" w:type="dxa"/>
            <w:gridSpan w:val="3"/>
            <w:vAlign w:val="center"/>
          </w:tcPr>
          <w:p>
            <w:pPr>
              <w:spacing w:line="320" w:lineRule="exact"/>
              <w:jc w:val="center"/>
              <w:rPr>
                <w:sz w:val="24"/>
              </w:rPr>
            </w:pPr>
          </w:p>
        </w:tc>
        <w:tc>
          <w:tcPr>
            <w:tcW w:w="850" w:type="dxa"/>
            <w:gridSpan w:val="2"/>
            <w:vAlign w:val="center"/>
          </w:tcPr>
          <w:p>
            <w:pPr>
              <w:spacing w:line="320" w:lineRule="exact"/>
              <w:jc w:val="center"/>
              <w:rPr>
                <w:sz w:val="24"/>
              </w:rPr>
            </w:pPr>
          </w:p>
        </w:tc>
        <w:tc>
          <w:tcPr>
            <w:tcW w:w="1492" w:type="dxa"/>
            <w:vAlign w:val="center"/>
          </w:tcPr>
          <w:p>
            <w:pPr>
              <w:spacing w:line="320" w:lineRule="exact"/>
              <w:jc w:val="center"/>
              <w:rPr>
                <w:sz w:val="24"/>
              </w:rPr>
            </w:pPr>
          </w:p>
        </w:tc>
        <w:tc>
          <w:tcPr>
            <w:tcW w:w="1275"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2" w:hRule="atLeast"/>
          <w:jc w:val="center"/>
        </w:trPr>
        <w:tc>
          <w:tcPr>
            <w:tcW w:w="1160" w:type="dxa"/>
            <w:gridSpan w:val="2"/>
            <w:vAlign w:val="center"/>
          </w:tcPr>
          <w:p>
            <w:pPr>
              <w:spacing w:line="320" w:lineRule="exact"/>
              <w:jc w:val="center"/>
              <w:rPr>
                <w:sz w:val="24"/>
              </w:rPr>
            </w:pPr>
          </w:p>
        </w:tc>
        <w:tc>
          <w:tcPr>
            <w:tcW w:w="863" w:type="dxa"/>
            <w:vAlign w:val="center"/>
          </w:tcPr>
          <w:p>
            <w:pPr>
              <w:spacing w:line="320" w:lineRule="exact"/>
              <w:jc w:val="center"/>
              <w:rPr>
                <w:sz w:val="24"/>
              </w:rPr>
            </w:pPr>
          </w:p>
        </w:tc>
        <w:tc>
          <w:tcPr>
            <w:tcW w:w="962" w:type="dxa"/>
            <w:gridSpan w:val="2"/>
            <w:vAlign w:val="center"/>
          </w:tcPr>
          <w:p>
            <w:pPr>
              <w:spacing w:line="320" w:lineRule="exact"/>
              <w:jc w:val="center"/>
              <w:rPr>
                <w:sz w:val="24"/>
              </w:rPr>
            </w:pPr>
          </w:p>
        </w:tc>
        <w:tc>
          <w:tcPr>
            <w:tcW w:w="925" w:type="dxa"/>
            <w:vAlign w:val="center"/>
          </w:tcPr>
          <w:p>
            <w:pPr>
              <w:spacing w:line="320" w:lineRule="exact"/>
              <w:jc w:val="center"/>
              <w:rPr>
                <w:sz w:val="24"/>
              </w:rPr>
            </w:pPr>
          </w:p>
        </w:tc>
        <w:tc>
          <w:tcPr>
            <w:tcW w:w="1213" w:type="dxa"/>
            <w:gridSpan w:val="3"/>
            <w:vAlign w:val="center"/>
          </w:tcPr>
          <w:p>
            <w:pPr>
              <w:spacing w:line="320" w:lineRule="exact"/>
              <w:jc w:val="center"/>
              <w:rPr>
                <w:sz w:val="24"/>
              </w:rPr>
            </w:pPr>
          </w:p>
        </w:tc>
        <w:tc>
          <w:tcPr>
            <w:tcW w:w="850" w:type="dxa"/>
            <w:gridSpan w:val="2"/>
            <w:vAlign w:val="center"/>
          </w:tcPr>
          <w:p>
            <w:pPr>
              <w:spacing w:line="320" w:lineRule="exact"/>
              <w:jc w:val="center"/>
              <w:rPr>
                <w:sz w:val="24"/>
              </w:rPr>
            </w:pPr>
          </w:p>
        </w:tc>
        <w:tc>
          <w:tcPr>
            <w:tcW w:w="1492" w:type="dxa"/>
            <w:vAlign w:val="center"/>
          </w:tcPr>
          <w:p>
            <w:pPr>
              <w:spacing w:line="320" w:lineRule="exact"/>
              <w:jc w:val="center"/>
              <w:rPr>
                <w:sz w:val="24"/>
              </w:rPr>
            </w:pPr>
          </w:p>
        </w:tc>
        <w:tc>
          <w:tcPr>
            <w:tcW w:w="1275"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2" w:hRule="atLeast"/>
          <w:jc w:val="center"/>
        </w:trPr>
        <w:tc>
          <w:tcPr>
            <w:tcW w:w="1160" w:type="dxa"/>
            <w:gridSpan w:val="2"/>
            <w:vAlign w:val="center"/>
          </w:tcPr>
          <w:p>
            <w:pPr>
              <w:spacing w:line="320" w:lineRule="exact"/>
              <w:jc w:val="center"/>
              <w:rPr>
                <w:sz w:val="24"/>
              </w:rPr>
            </w:pPr>
          </w:p>
        </w:tc>
        <w:tc>
          <w:tcPr>
            <w:tcW w:w="863" w:type="dxa"/>
            <w:vAlign w:val="center"/>
          </w:tcPr>
          <w:p>
            <w:pPr>
              <w:spacing w:line="320" w:lineRule="exact"/>
              <w:jc w:val="center"/>
              <w:rPr>
                <w:sz w:val="24"/>
              </w:rPr>
            </w:pPr>
          </w:p>
        </w:tc>
        <w:tc>
          <w:tcPr>
            <w:tcW w:w="962" w:type="dxa"/>
            <w:gridSpan w:val="2"/>
            <w:vAlign w:val="center"/>
          </w:tcPr>
          <w:p>
            <w:pPr>
              <w:spacing w:line="320" w:lineRule="exact"/>
              <w:jc w:val="center"/>
              <w:rPr>
                <w:sz w:val="24"/>
              </w:rPr>
            </w:pPr>
          </w:p>
        </w:tc>
        <w:tc>
          <w:tcPr>
            <w:tcW w:w="925" w:type="dxa"/>
            <w:vAlign w:val="center"/>
          </w:tcPr>
          <w:p>
            <w:pPr>
              <w:spacing w:line="320" w:lineRule="exact"/>
              <w:jc w:val="center"/>
              <w:rPr>
                <w:sz w:val="24"/>
              </w:rPr>
            </w:pPr>
          </w:p>
        </w:tc>
        <w:tc>
          <w:tcPr>
            <w:tcW w:w="1213" w:type="dxa"/>
            <w:gridSpan w:val="3"/>
            <w:vAlign w:val="center"/>
          </w:tcPr>
          <w:p>
            <w:pPr>
              <w:spacing w:line="320" w:lineRule="exact"/>
              <w:jc w:val="center"/>
              <w:rPr>
                <w:sz w:val="24"/>
              </w:rPr>
            </w:pPr>
          </w:p>
        </w:tc>
        <w:tc>
          <w:tcPr>
            <w:tcW w:w="850" w:type="dxa"/>
            <w:gridSpan w:val="2"/>
            <w:vAlign w:val="center"/>
          </w:tcPr>
          <w:p>
            <w:pPr>
              <w:spacing w:line="320" w:lineRule="exact"/>
              <w:jc w:val="center"/>
              <w:rPr>
                <w:sz w:val="24"/>
              </w:rPr>
            </w:pPr>
          </w:p>
        </w:tc>
        <w:tc>
          <w:tcPr>
            <w:tcW w:w="1492" w:type="dxa"/>
            <w:vAlign w:val="center"/>
          </w:tcPr>
          <w:p>
            <w:pPr>
              <w:spacing w:line="320" w:lineRule="exact"/>
              <w:jc w:val="center"/>
              <w:rPr>
                <w:sz w:val="24"/>
              </w:rPr>
            </w:pPr>
          </w:p>
        </w:tc>
        <w:tc>
          <w:tcPr>
            <w:tcW w:w="1275"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7" w:hRule="atLeast"/>
          <w:jc w:val="center"/>
        </w:trPr>
        <w:tc>
          <w:tcPr>
            <w:tcW w:w="8740" w:type="dxa"/>
            <w:gridSpan w:val="13"/>
          </w:tcPr>
          <w:p>
            <w:pPr>
              <w:spacing w:line="320" w:lineRule="exact"/>
              <w:rPr>
                <w:sz w:val="24"/>
              </w:rPr>
            </w:pPr>
            <w:r>
              <w:rPr>
                <w:rFonts w:hint="eastAsia"/>
                <w:sz w:val="24"/>
              </w:rPr>
              <w:t>课题研究提纲（列到三级）</w:t>
            </w:r>
          </w:p>
          <w:p>
            <w:pPr>
              <w:spacing w:line="320" w:lineRule="exact"/>
              <w:rPr>
                <w:sz w:val="24"/>
              </w:rPr>
            </w:pPr>
          </w:p>
          <w:p>
            <w:pPr>
              <w:spacing w:line="320" w:lineRule="exact"/>
              <w:rPr>
                <w:rFonts w:ascii="宋体" w:hAnsi="宋体" w:cs="宋体"/>
                <w:sz w:val="24"/>
              </w:rPr>
            </w:pPr>
            <w:r>
              <w:rPr>
                <w:rFonts w:hint="eastAsia" w:ascii="宋体" w:hAnsi="宋体" w:cs="宋体"/>
                <w:sz w:val="24"/>
              </w:rPr>
              <w:t>一、……</w:t>
            </w:r>
          </w:p>
          <w:p>
            <w:pPr>
              <w:spacing w:line="320" w:lineRule="exact"/>
              <w:rPr>
                <w:rFonts w:ascii="宋体" w:hAnsi="宋体" w:cs="宋体"/>
                <w:sz w:val="24"/>
              </w:rPr>
            </w:pPr>
            <w:r>
              <w:rPr>
                <w:rFonts w:hint="eastAsia" w:ascii="宋体" w:hAnsi="宋体" w:cs="宋体"/>
                <w:sz w:val="24"/>
              </w:rPr>
              <w:t>（一）……</w:t>
            </w:r>
          </w:p>
          <w:p>
            <w:pPr>
              <w:spacing w:line="320" w:lineRule="exact"/>
              <w:rPr>
                <w:rFonts w:ascii="宋体" w:hAnsi="宋体" w:cs="宋体"/>
                <w:sz w:val="24"/>
              </w:rPr>
            </w:pPr>
            <w:r>
              <w:rPr>
                <w:rFonts w:hint="eastAsia" w:ascii="宋体" w:hAnsi="宋体" w:cs="宋体"/>
                <w:sz w:val="24"/>
              </w:rPr>
              <w:t>1.……</w:t>
            </w:r>
          </w:p>
          <w:p>
            <w:pPr>
              <w:spacing w:line="320" w:lineRule="exact"/>
              <w:rPr>
                <w:rFonts w:ascii="宋体" w:hAnsi="宋体" w:cs="宋体"/>
                <w:sz w:val="24"/>
              </w:rPr>
            </w:pPr>
            <w:r>
              <w:rPr>
                <w:rFonts w:hint="eastAsia" w:ascii="宋体" w:hAnsi="宋体" w:cs="宋体"/>
                <w:sz w:val="24"/>
              </w:rPr>
              <w:t>2.……</w:t>
            </w:r>
          </w:p>
          <w:p>
            <w:pPr>
              <w:spacing w:line="320" w:lineRule="exact"/>
              <w:rPr>
                <w:rFonts w:ascii="宋体" w:hAnsi="宋体" w:cs="宋体"/>
                <w:sz w:val="24"/>
              </w:rPr>
            </w:pPr>
            <w:r>
              <w:rPr>
                <w:rFonts w:hint="eastAsia" w:ascii="宋体" w:hAnsi="宋体" w:cs="宋体"/>
                <w:sz w:val="24"/>
              </w:rPr>
              <w:t>3.……</w:t>
            </w:r>
          </w:p>
          <w:p>
            <w:pPr>
              <w:spacing w:line="320" w:lineRule="exact"/>
              <w:rPr>
                <w:rFonts w:ascii="宋体" w:hAnsi="宋体" w:cs="宋体"/>
                <w:sz w:val="24"/>
              </w:rPr>
            </w:pPr>
          </w:p>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8740" w:type="dxa"/>
            <w:gridSpan w:val="13"/>
          </w:tcPr>
          <w:p>
            <w:pPr>
              <w:spacing w:line="320" w:lineRule="exact"/>
              <w:rPr>
                <w:sz w:val="24"/>
              </w:rPr>
            </w:pPr>
            <w:r>
              <w:rPr>
                <w:rFonts w:hint="eastAsia"/>
                <w:sz w:val="24"/>
              </w:rPr>
              <w:t>课题研究的创新点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8" w:hRule="atLeast"/>
          <w:jc w:val="center"/>
        </w:trPr>
        <w:tc>
          <w:tcPr>
            <w:tcW w:w="8740" w:type="dxa"/>
            <w:gridSpan w:val="13"/>
          </w:tcPr>
          <w:p>
            <w:pPr>
              <w:spacing w:line="320" w:lineRule="exact"/>
              <w:rPr>
                <w:sz w:val="24"/>
              </w:rPr>
            </w:pPr>
            <w:r>
              <w:rPr>
                <w:rFonts w:hint="eastAsia"/>
                <w:sz w:val="24"/>
              </w:rPr>
              <w:t>申报单位意见（包括是否同意申报）</w:t>
            </w: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r>
              <w:rPr>
                <w:rFonts w:hint="eastAsia"/>
                <w:sz w:val="24"/>
              </w:rPr>
              <w:t xml:space="preserve">                                                  （单位公章）</w:t>
            </w:r>
          </w:p>
          <w:p>
            <w:pPr>
              <w:spacing w:line="320" w:lineRule="exact"/>
              <w:rPr>
                <w:sz w:val="24"/>
              </w:rPr>
            </w:pPr>
          </w:p>
          <w:p>
            <w:pPr>
              <w:spacing w:line="320" w:lineRule="exact"/>
              <w:rPr>
                <w:sz w:val="24"/>
              </w:rPr>
            </w:pPr>
            <w:r>
              <w:rPr>
                <w:rFonts w:hint="eastAsia"/>
                <w:sz w:val="24"/>
              </w:rPr>
              <w:t xml:space="preserve">                                               年      月       日</w:t>
            </w:r>
          </w:p>
        </w:tc>
      </w:tr>
    </w:tbl>
    <w:p>
      <w:pPr>
        <w:spacing w:line="20" w:lineRule="exact"/>
        <w:rPr>
          <w:rFonts w:ascii="仿宋_GB2312" w:hAnsi="宋体" w:eastAsia="仿宋_GB2312" w:cs="宋体"/>
          <w:color w:val="000000"/>
          <w:kern w:val="0"/>
          <w:sz w:val="24"/>
          <w:szCs w:val="22"/>
        </w:rPr>
      </w:pPr>
      <w:bookmarkStart w:id="0" w:name="_GoBack"/>
      <w:bookmarkEnd w:id="0"/>
    </w:p>
    <w:sectPr>
      <w:headerReference r:id="rId3" w:type="default"/>
      <w:footerReference r:id="rId5" w:type="default"/>
      <w:headerReference r:id="rId4" w:type="even"/>
      <w:footerReference r:id="rId6" w:type="even"/>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jYWFkMDg2MTNjMzVmMzQ4YzhjYjNlMzc0M2Q2ZDAifQ=="/>
  </w:docVars>
  <w:rsids>
    <w:rsidRoot w:val="F9FBE13E"/>
    <w:rsid w:val="0008584D"/>
    <w:rsid w:val="004568AE"/>
    <w:rsid w:val="00604B69"/>
    <w:rsid w:val="00757F00"/>
    <w:rsid w:val="00763086"/>
    <w:rsid w:val="007A091F"/>
    <w:rsid w:val="00850A59"/>
    <w:rsid w:val="0098376F"/>
    <w:rsid w:val="00AB6B7A"/>
    <w:rsid w:val="00E72E12"/>
    <w:rsid w:val="0BC92948"/>
    <w:rsid w:val="25DCB52E"/>
    <w:rsid w:val="25DDF6AC"/>
    <w:rsid w:val="27EA7FE5"/>
    <w:rsid w:val="2D3E3B0D"/>
    <w:rsid w:val="37EF859C"/>
    <w:rsid w:val="3F75511C"/>
    <w:rsid w:val="7D79EC90"/>
    <w:rsid w:val="7DF71574"/>
    <w:rsid w:val="7E6F554F"/>
    <w:rsid w:val="7F7F60B9"/>
    <w:rsid w:val="999F59BF"/>
    <w:rsid w:val="A55BCFC1"/>
    <w:rsid w:val="B77F9A66"/>
    <w:rsid w:val="B97FB580"/>
    <w:rsid w:val="BE3F4908"/>
    <w:rsid w:val="BED4AA6B"/>
    <w:rsid w:val="CBFCA974"/>
    <w:rsid w:val="DBFF1685"/>
    <w:rsid w:val="E97E14C2"/>
    <w:rsid w:val="F8FB5CB3"/>
    <w:rsid w:val="F91E2FD1"/>
    <w:rsid w:val="F9FBE13E"/>
    <w:rsid w:val="FEFF9F9A"/>
    <w:rsid w:val="FF354BA0"/>
    <w:rsid w:val="FF3C2AC4"/>
    <w:rsid w:val="FF4D0F2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4">
    <w:name w:val="heading 4"/>
    <w:basedOn w:val="1"/>
    <w:next w:val="1"/>
    <w:qFormat/>
    <w:uiPriority w:val="0"/>
    <w:pPr>
      <w:keepNext/>
      <w:jc w:val="center"/>
      <w:outlineLvl w:val="3"/>
    </w:pPr>
    <w:rPr>
      <w:b/>
      <w:sz w:val="24"/>
      <w:szCs w:val="20"/>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5">
    <w:name w:val="Balloon Text"/>
    <w:basedOn w:val="1"/>
    <w:link w:val="14"/>
    <w:qFormat/>
    <w:uiPriority w:val="0"/>
    <w:rPr>
      <w:sz w:val="18"/>
      <w:szCs w:val="18"/>
    </w:rPr>
  </w:style>
  <w:style w:type="paragraph" w:styleId="6">
    <w:name w:val="footer"/>
    <w:basedOn w:val="1"/>
    <w:qFormat/>
    <w:uiPriority w:val="99"/>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rPr>
      <w:rFonts w:ascii="Calibri" w:hAnsi="Calibri"/>
    </w:rPr>
  </w:style>
  <w:style w:type="paragraph" w:styleId="9">
    <w:name w:val="Normal (Web)"/>
    <w:basedOn w:val="1"/>
    <w:qFormat/>
    <w:uiPriority w:val="0"/>
    <w:pPr>
      <w:spacing w:beforeAutospacing="1" w:afterAutospacing="1"/>
      <w:jc w:val="left"/>
    </w:pPr>
    <w:rPr>
      <w:kern w:val="0"/>
      <w:sz w:val="24"/>
    </w:rPr>
  </w:style>
  <w:style w:type="character" w:styleId="12">
    <w:name w:val="Emphasis"/>
    <w:basedOn w:val="11"/>
    <w:qFormat/>
    <w:uiPriority w:val="0"/>
    <w:rPr>
      <w:i/>
    </w:rPr>
  </w:style>
  <w:style w:type="character" w:styleId="13">
    <w:name w:val="Hyperlink"/>
    <w:basedOn w:val="11"/>
    <w:qFormat/>
    <w:uiPriority w:val="0"/>
    <w:rPr>
      <w:color w:val="0000FF"/>
      <w:u w:val="single"/>
    </w:rPr>
  </w:style>
  <w:style w:type="character" w:customStyle="1" w:styleId="14">
    <w:name w:val="批注框文本 Char"/>
    <w:basedOn w:val="11"/>
    <w:link w:val="5"/>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admin</Company>
  <Pages>17</Pages>
  <Words>6399</Words>
  <Characters>6613</Characters>
  <Lines>50</Lines>
  <Paragraphs>14</Paragraphs>
  <TotalTime>94</TotalTime>
  <ScaleCrop>false</ScaleCrop>
  <LinksUpToDate>false</LinksUpToDate>
  <CharactersWithSpaces>6741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2023-03-08T01:29:00Z</dcterms:created>
  <dc:creator>蕾蕾蕾蕾蕾蕾蕾</dc:creator>
  <cp:lastModifiedBy>刹那间凌乱</cp:lastModifiedBy>
  <cp:lastPrinted>2023-03-15T09:58:00Z</cp:lastPrinted>
  <dcterms:modified xsi:type="dcterms:W3CDTF">2023-03-16T01:53:03Z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C577A7D5EE804E1A94D43868126F54FB</vt:lpwstr>
  </property>
</Properties>
</file>